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w:t>
      </w:r>
      <w:r w:rsidR="00397700">
        <w:rPr>
          <w:sz w:val="23"/>
          <w:szCs w:val="23"/>
        </w:rPr>
        <w:t>2</w:t>
      </w:r>
      <w:r w:rsidRPr="000045D5">
        <w:rPr>
          <w:sz w:val="23"/>
          <w:szCs w:val="23"/>
        </w:rPr>
        <w:t xml:space="preserve"> «Положение об организации и обеспечении охраны, пропускного и </w:t>
      </w:r>
      <w:proofErr w:type="spellStart"/>
      <w:r w:rsidRPr="000045D5">
        <w:rPr>
          <w:sz w:val="23"/>
          <w:szCs w:val="23"/>
        </w:rPr>
        <w:t>внутриобъектового</w:t>
      </w:r>
      <w:proofErr w:type="spellEnd"/>
      <w:r w:rsidRPr="000045D5">
        <w:rPr>
          <w:sz w:val="23"/>
          <w:szCs w:val="23"/>
        </w:rPr>
        <w:t xml:space="preserve">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0045D5">
        <w:rPr>
          <w:rFonts w:ascii="Times New Roman" w:hAnsi="Times New Roman" w:cs="Times New Roman"/>
          <w:sz w:val="22"/>
          <w:szCs w:val="22"/>
        </w:rPr>
        <w:t>психо</w:t>
      </w:r>
      <w:proofErr w:type="spellEnd"/>
      <w:r w:rsidRPr="000045D5">
        <w:rPr>
          <w:rFonts w:ascii="Times New Roman" w:hAnsi="Times New Roman" w:cs="Times New Roman"/>
          <w:sz w:val="22"/>
          <w:szCs w:val="22"/>
        </w:rPr>
        <w:t xml:space="preserve">-, </w:t>
      </w:r>
      <w:proofErr w:type="spellStart"/>
      <w:r w:rsidRPr="000045D5">
        <w:rPr>
          <w:rFonts w:ascii="Times New Roman" w:hAnsi="Times New Roman" w:cs="Times New Roman"/>
          <w:sz w:val="22"/>
          <w:szCs w:val="22"/>
        </w:rPr>
        <w:t>нарко</w:t>
      </w:r>
      <w:proofErr w:type="spellEnd"/>
      <w:r w:rsidRPr="000045D5">
        <w:rPr>
          <w:rFonts w:ascii="Times New Roman" w:hAnsi="Times New Roman" w:cs="Times New Roman"/>
          <w:sz w:val="22"/>
          <w:szCs w:val="22"/>
        </w:rPr>
        <w:t>-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 xml:space="preserve">осу Исполнителя предоставить последнему имеющиеся в распоряжении Заказчика и </w:t>
      </w:r>
      <w:r w:rsidR="00D96505" w:rsidRPr="000045D5">
        <w:rPr>
          <w:rFonts w:ascii="Times New Roman" w:eastAsia="Times New Roman" w:hAnsi="Times New Roman" w:cs="Times New Roman"/>
          <w:sz w:val="22"/>
          <w:szCs w:val="22"/>
        </w:rPr>
        <w:lastRenderedPageBreak/>
        <w:t>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w:t>
      </w:r>
      <w:r w:rsidR="00397700">
        <w:rPr>
          <w:rFonts w:ascii="Times New Roman" w:eastAsia="Times New Roman" w:hAnsi="Times New Roman" w:cs="Times New Roman"/>
          <w:sz w:val="22"/>
          <w:szCs w:val="22"/>
        </w:rPr>
        <w:t xml:space="preserve">в на расчетный счет Исполнителя </w:t>
      </w:r>
      <w:r w:rsidR="00397700" w:rsidRPr="00397700">
        <w:rPr>
          <w:rFonts w:ascii="Times New Roman" w:eastAsia="Times New Roman" w:hAnsi="Times New Roman" w:cs="Times New Roman"/>
          <w:sz w:val="22"/>
          <w:szCs w:val="22"/>
        </w:rPr>
        <w:t>на основании выставленного счета.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 xml:space="preserve">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w:t>
      </w:r>
      <w:r w:rsidR="0051553F" w:rsidRPr="000045D5">
        <w:rPr>
          <w:rFonts w:ascii="Times New Roman" w:hAnsi="Times New Roman" w:cs="Times New Roman"/>
          <w:sz w:val="22"/>
          <w:szCs w:val="22"/>
          <w:lang w:eastAsia="x-none"/>
        </w:rPr>
        <w:lastRenderedPageBreak/>
        <w:t>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информировать Исполнителя по вопросам реализации Политики Заказчика в области качества, </w:t>
      </w:r>
      <w:proofErr w:type="spellStart"/>
      <w:r w:rsidRPr="00D1454A">
        <w:rPr>
          <w:rFonts w:ascii="Times New Roman" w:eastAsia="Times New Roman" w:hAnsi="Times New Roman" w:cs="Times New Roman"/>
          <w:bCs/>
          <w:color w:val="auto"/>
          <w:sz w:val="22"/>
          <w:szCs w:val="22"/>
        </w:rPr>
        <w:t>энергоэффективности</w:t>
      </w:r>
      <w:proofErr w:type="spellEnd"/>
      <w:r w:rsidRPr="00D1454A">
        <w:rPr>
          <w:rFonts w:ascii="Times New Roman" w:eastAsia="Times New Roman" w:hAnsi="Times New Roman" w:cs="Times New Roman"/>
          <w:bCs/>
          <w:color w:val="auto"/>
          <w:sz w:val="22"/>
          <w:szCs w:val="22"/>
        </w:rPr>
        <w:t>,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D1454A">
        <w:rPr>
          <w:rFonts w:ascii="Times New Roman" w:eastAsia="Times New Roman" w:hAnsi="Times New Roman" w:cs="Times New Roman"/>
          <w:bCs/>
          <w:color w:val="auto"/>
          <w:sz w:val="22"/>
          <w:szCs w:val="22"/>
        </w:rPr>
        <w:t>пофамильным</w:t>
      </w:r>
      <w:proofErr w:type="spellEnd"/>
      <w:r w:rsidRPr="00D1454A">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D1454A">
        <w:rPr>
          <w:rFonts w:ascii="Times New Roman" w:eastAsia="Times New Roman" w:hAnsi="Times New Roman" w:cs="Times New Roman"/>
          <w:bCs/>
          <w:color w:val="auto"/>
          <w:sz w:val="22"/>
          <w:szCs w:val="22"/>
        </w:rPr>
        <w:t>т.д</w:t>
      </w:r>
      <w:proofErr w:type="spellEnd"/>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proofErr w:type="gramStart"/>
      <w:r w:rsidRPr="00D1454A">
        <w:rPr>
          <w:rFonts w:ascii="Times New Roman" w:eastAsia="Times New Roman" w:hAnsi="Times New Roman" w:cs="Times New Roman"/>
          <w:bCs/>
          <w:color w:val="auto"/>
          <w:sz w:val="22"/>
          <w:szCs w:val="22"/>
        </w:rPr>
        <w:t>актов  для</w:t>
      </w:r>
      <w:proofErr w:type="gramEnd"/>
      <w:r w:rsidRPr="00D1454A">
        <w:rPr>
          <w:rFonts w:ascii="Times New Roman" w:eastAsia="Times New Roman" w:hAnsi="Times New Roman" w:cs="Times New Roman"/>
          <w:bCs/>
          <w:color w:val="auto"/>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DB7210">
        <w:rPr>
          <w:rFonts w:ascii="Times New Roman" w:eastAsia="Times New Roman" w:hAnsi="Times New Roman" w:cs="Times New Roman"/>
          <w:bCs/>
          <w:color w:val="auto"/>
          <w:sz w:val="22"/>
          <w:szCs w:val="22"/>
        </w:rPr>
        <w:t>антистатичная</w:t>
      </w:r>
      <w:proofErr w:type="spellEnd"/>
      <w:r w:rsidRPr="00DB7210">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w:t>
      </w:r>
      <w:bookmarkStart w:id="1" w:name="_GoBack"/>
      <w:bookmarkEnd w:id="1"/>
      <w:r w:rsidRPr="00DB7210">
        <w:rPr>
          <w:rFonts w:ascii="Times New Roman" w:eastAsia="Times New Roman" w:hAnsi="Times New Roman" w:cs="Times New Roman"/>
          <w:bCs/>
          <w:color w:val="auto"/>
          <w:sz w:val="22"/>
          <w:szCs w:val="22"/>
        </w:rPr>
        <w:t>астей в обуви, защитная каска с подбородочным ремешком, наличие противогаза/</w:t>
      </w:r>
      <w:proofErr w:type="spellStart"/>
      <w:r w:rsidRPr="00DB7210">
        <w:rPr>
          <w:rFonts w:ascii="Times New Roman" w:eastAsia="Times New Roman" w:hAnsi="Times New Roman" w:cs="Times New Roman"/>
          <w:bCs/>
          <w:color w:val="auto"/>
          <w:sz w:val="22"/>
          <w:szCs w:val="22"/>
        </w:rPr>
        <w:t>самоспасателя</w:t>
      </w:r>
      <w:proofErr w:type="spellEnd"/>
      <w:r w:rsidRPr="00DB7210">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DB7210">
        <w:rPr>
          <w:rFonts w:ascii="Times New Roman" w:eastAsia="Times New Roman" w:hAnsi="Times New Roman" w:cs="Times New Roman"/>
          <w:bCs/>
          <w:color w:val="auto"/>
          <w:sz w:val="22"/>
          <w:szCs w:val="22"/>
        </w:rPr>
        <w:t>электробезопаспости</w:t>
      </w:r>
      <w:proofErr w:type="spellEnd"/>
      <w:r w:rsidRPr="00DB7210">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DB7210">
        <w:rPr>
          <w:rFonts w:ascii="Times New Roman" w:eastAsia="Times New Roman" w:hAnsi="Times New Roman" w:cs="Times New Roman"/>
          <w:bCs/>
          <w:color w:val="auto"/>
          <w:sz w:val="22"/>
          <w:szCs w:val="22"/>
        </w:rPr>
        <w:t>опрессовкой</w:t>
      </w:r>
      <w:proofErr w:type="spellEnd"/>
      <w:r w:rsidRPr="00DB7210">
        <w:rPr>
          <w:rFonts w:ascii="Times New Roman" w:eastAsia="Times New Roman" w:hAnsi="Times New Roman" w:cs="Times New Roman"/>
          <w:bCs/>
          <w:color w:val="auto"/>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DB7210">
        <w:rPr>
          <w:rFonts w:ascii="Times New Roman" w:eastAsia="Times New Roman" w:hAnsi="Times New Roman" w:cs="Times New Roman"/>
          <w:bCs/>
          <w:color w:val="auto"/>
          <w:sz w:val="22"/>
          <w:szCs w:val="22"/>
        </w:rPr>
        <w:t>опрессованных</w:t>
      </w:r>
      <w:proofErr w:type="spellEnd"/>
      <w:r w:rsidRPr="00DB7210">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DB7210">
        <w:rPr>
          <w:rFonts w:ascii="Times New Roman" w:eastAsia="Times New Roman" w:hAnsi="Times New Roman" w:cs="Times New Roman"/>
          <w:bCs/>
          <w:color w:val="auto"/>
          <w:sz w:val="22"/>
          <w:szCs w:val="22"/>
        </w:rPr>
        <w:t>газорезательной</w:t>
      </w:r>
      <w:proofErr w:type="spellEnd"/>
      <w:r w:rsidRPr="00DB7210">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DB7210">
        <w:rPr>
          <w:rFonts w:ascii="Times New Roman" w:eastAsia="Times New Roman" w:hAnsi="Times New Roman" w:cs="Times New Roman"/>
          <w:bCs/>
          <w:color w:val="auto"/>
          <w:sz w:val="22"/>
          <w:szCs w:val="22"/>
        </w:rPr>
        <w:t>т.ч</w:t>
      </w:r>
      <w:proofErr w:type="spellEnd"/>
      <w:r w:rsidRPr="00DB7210">
        <w:rPr>
          <w:rFonts w:ascii="Times New Roman" w:eastAsia="Times New Roman" w:hAnsi="Times New Roman" w:cs="Times New Roman"/>
          <w:bCs/>
          <w:color w:val="auto"/>
          <w:sz w:val="22"/>
          <w:szCs w:val="22"/>
        </w:rPr>
        <w:t>.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F064EC" w:rsidRPr="00462BE9">
          <w:rPr>
            <w:rStyle w:val="ac"/>
            <w:rFonts w:ascii="Times New Roman" w:hAnsi="Times New Roman" w:cs="Times New Roman"/>
            <w:sz w:val="22"/>
            <w:szCs w:val="22"/>
          </w:rPr>
          <w:t>hotline@tnpz.rusinvest.ru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045D5">
        <w:rPr>
          <w:rFonts w:ascii="Times New Roman" w:eastAsia="Times New Roman" w:hAnsi="Times New Roman" w:cs="Times New Roman"/>
          <w:sz w:val="22"/>
          <w:szCs w:val="22"/>
        </w:rPr>
        <w:t>т.ч</w:t>
      </w:r>
      <w:proofErr w:type="spellEnd"/>
      <w:r w:rsidRPr="000045D5">
        <w:rPr>
          <w:rFonts w:ascii="Times New Roman" w:eastAsia="Times New Roman" w:hAnsi="Times New Roman" w:cs="Times New Roman"/>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w:t>
      </w:r>
      <w:proofErr w:type="spellStart"/>
      <w:r w:rsidRPr="00DA6002">
        <w:rPr>
          <w:rFonts w:ascii="Times New Roman" w:eastAsia="Times New Roman" w:hAnsi="Times New Roman" w:cs="Times New Roman"/>
          <w:sz w:val="22"/>
          <w:szCs w:val="22"/>
        </w:rPr>
        <w:t>спецобуви</w:t>
      </w:r>
      <w:proofErr w:type="spellEnd"/>
      <w:r w:rsidRPr="00DA6002">
        <w:rPr>
          <w:rFonts w:ascii="Times New Roman" w:eastAsia="Times New Roman" w:hAnsi="Times New Roman" w:cs="Times New Roman"/>
          <w:sz w:val="22"/>
          <w:szCs w:val="22"/>
        </w:rPr>
        <w:t xml:space="preserve">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w:t>
      </w:r>
      <w:r w:rsidR="00397700">
        <w:rPr>
          <w:rFonts w:ascii="Times New Roman" w:eastAsia="Times New Roman" w:hAnsi="Times New Roman" w:cs="Times New Roman"/>
          <w:sz w:val="22"/>
          <w:szCs w:val="22"/>
        </w:rPr>
        <w:t xml:space="preserve"> или токсического опьянения – 10</w:t>
      </w:r>
      <w:r w:rsidRPr="00DA6002">
        <w:rPr>
          <w:rFonts w:ascii="Times New Roman" w:eastAsia="Times New Roman" w:hAnsi="Times New Roman" w:cs="Times New Roman"/>
          <w:sz w:val="22"/>
          <w:szCs w:val="22"/>
        </w:rPr>
        <w:t>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(Соисполнителем) требований П 14.02-202</w:t>
      </w:r>
      <w:r w:rsidR="00397700">
        <w:rPr>
          <w:rFonts w:ascii="Times New Roman" w:eastAsia="Times New Roman" w:hAnsi="Times New Roman" w:cs="Times New Roman"/>
          <w:sz w:val="22"/>
          <w:szCs w:val="22"/>
        </w:rPr>
        <w:t>2</w:t>
      </w:r>
      <w:r w:rsidRPr="000045D5">
        <w:rPr>
          <w:rFonts w:ascii="Times New Roman" w:eastAsia="Times New Roman" w:hAnsi="Times New Roman" w:cs="Times New Roman"/>
          <w:sz w:val="22"/>
          <w:szCs w:val="22"/>
        </w:rPr>
        <w:t xml:space="preserve">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w:t>
      </w:r>
      <w:proofErr w:type="spellStart"/>
      <w:r w:rsidRPr="000045D5">
        <w:rPr>
          <w:rFonts w:ascii="Times New Roman" w:eastAsia="Times New Roman" w:hAnsi="Times New Roman" w:cs="Times New Roman"/>
          <w:sz w:val="22"/>
          <w:szCs w:val="22"/>
        </w:rPr>
        <w:t>внутриобъектового</w:t>
      </w:r>
      <w:proofErr w:type="spellEnd"/>
      <w:r w:rsidRPr="000045D5">
        <w:rPr>
          <w:rFonts w:ascii="Times New Roman" w:eastAsia="Times New Roman" w:hAnsi="Times New Roman" w:cs="Times New Roman"/>
          <w:sz w:val="22"/>
          <w:szCs w:val="22"/>
        </w:rPr>
        <w:t xml:space="preserve">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w:t>
      </w:r>
      <w:r w:rsidRPr="000045D5">
        <w:rPr>
          <w:rFonts w:ascii="Times New Roman" w:hAnsi="Times New Roman" w:cs="Times New Roman"/>
          <w:bCs/>
          <w:sz w:val="22"/>
          <w:szCs w:val="22"/>
          <w:lang w:eastAsia="x-none"/>
        </w:rPr>
        <w:lastRenderedPageBreak/>
        <w:t>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 xml:space="preserve">115035, г. Москва, </w:t>
            </w:r>
            <w:proofErr w:type="spellStart"/>
            <w:r w:rsidRPr="00B20F8E">
              <w:rPr>
                <w:rFonts w:ascii="Times New Roman" w:hAnsi="Times New Roman" w:cs="Times New Roman"/>
              </w:rPr>
              <w:t>вн.тер.г</w:t>
            </w:r>
            <w:proofErr w:type="spellEnd"/>
            <w:r w:rsidRPr="00B20F8E">
              <w:rPr>
                <w:rFonts w:ascii="Times New Roman" w:hAnsi="Times New Roman" w:cs="Times New Roman"/>
              </w:rPr>
              <w:t xml:space="preserve">. Муниципальный Округ Замоскворечье, </w:t>
            </w:r>
            <w:proofErr w:type="spellStart"/>
            <w:r w:rsidRPr="00B20F8E">
              <w:rPr>
                <w:rFonts w:ascii="Times New Roman" w:hAnsi="Times New Roman" w:cs="Times New Roman"/>
              </w:rPr>
              <w:t>ул</w:t>
            </w:r>
            <w:proofErr w:type="spellEnd"/>
            <w:r w:rsidRPr="00B20F8E">
              <w:rPr>
                <w:rFonts w:ascii="Times New Roman" w:hAnsi="Times New Roman" w:cs="Times New Roman"/>
              </w:rPr>
              <w:t xml:space="preserve">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D1593E" w:rsidP="00D1593E">
            <w:pPr>
              <w:widowControl/>
              <w:contextualSpacing/>
              <w:rPr>
                <w:rFonts w:ascii="Times New Roman" w:eastAsiaTheme="minorHAnsi" w:hAnsi="Times New Roman" w:cs="Times New Roman"/>
                <w:color w:val="auto"/>
                <w:sz w:val="22"/>
                <w:szCs w:val="22"/>
                <w:lang w:eastAsia="en-US"/>
              </w:rPr>
            </w:pP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color w:val="auto"/>
                <w:sz w:val="22"/>
                <w:szCs w:val="22"/>
                <w:lang w:eastAsia="en-US"/>
              </w:rPr>
            </w:pP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D1593E"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7</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contextualSpacing/>
              <w:jc w:val="both"/>
              <w:rPr>
                <w:rFonts w:ascii="Times New Roman" w:eastAsiaTheme="minorHAnsi" w:hAnsi="Times New Roman" w:cs="Times New Roman"/>
                <w:color w:val="auto"/>
                <w:sz w:val="22"/>
                <w:szCs w:val="22"/>
                <w:lang w:eastAsia="en-US"/>
              </w:rPr>
            </w:pP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CD4" w:rsidRDefault="00797CD4">
      <w:r>
        <w:separator/>
      </w:r>
    </w:p>
  </w:endnote>
  <w:endnote w:type="continuationSeparator" w:id="0">
    <w:p w:rsidR="00797CD4" w:rsidRDefault="0079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2056FA">
      <w:rPr>
        <w:rFonts w:ascii="Times New Roman" w:hAnsi="Times New Roman" w:cs="Times New Roman"/>
        <w:noProof/>
        <w:sz w:val="20"/>
        <w:szCs w:val="20"/>
      </w:rPr>
      <w:t>14</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CD4" w:rsidRDefault="00797CD4">
      <w:r>
        <w:separator/>
      </w:r>
    </w:p>
  </w:footnote>
  <w:footnote w:type="continuationSeparator" w:id="0">
    <w:p w:rsidR="00797CD4" w:rsidRDefault="00797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Default="00532895">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D4D26"/>
    <w:rsid w:val="002056FA"/>
    <w:rsid w:val="00212CD2"/>
    <w:rsid w:val="00236AFB"/>
    <w:rsid w:val="002622B4"/>
    <w:rsid w:val="0027670D"/>
    <w:rsid w:val="002B231E"/>
    <w:rsid w:val="002B2997"/>
    <w:rsid w:val="00315315"/>
    <w:rsid w:val="00327E84"/>
    <w:rsid w:val="003467F7"/>
    <w:rsid w:val="00372817"/>
    <w:rsid w:val="00391BD9"/>
    <w:rsid w:val="00397700"/>
    <w:rsid w:val="003A7F8F"/>
    <w:rsid w:val="003B03E7"/>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7381D"/>
    <w:rsid w:val="00795EE4"/>
    <w:rsid w:val="00797CD4"/>
    <w:rsid w:val="008D4241"/>
    <w:rsid w:val="008E3F8C"/>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D575C"/>
    <w:rsid w:val="00C021B4"/>
    <w:rsid w:val="00C3339A"/>
    <w:rsid w:val="00C4434C"/>
    <w:rsid w:val="00C73F8D"/>
    <w:rsid w:val="00C96667"/>
    <w:rsid w:val="00CF7FDB"/>
    <w:rsid w:val="00D01F11"/>
    <w:rsid w:val="00D1454A"/>
    <w:rsid w:val="00D14984"/>
    <w:rsid w:val="00D1593E"/>
    <w:rsid w:val="00D160AD"/>
    <w:rsid w:val="00D86455"/>
    <w:rsid w:val="00D96505"/>
    <w:rsid w:val="00DA6002"/>
    <w:rsid w:val="00DB1A01"/>
    <w:rsid w:val="00DB7210"/>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8281</Words>
  <Characters>47203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Колычева Ольга Владимировна</cp:lastModifiedBy>
  <cp:revision>4</cp:revision>
  <cp:lastPrinted>2022-02-07T04:19:00Z</cp:lastPrinted>
  <dcterms:created xsi:type="dcterms:W3CDTF">2022-12-12T06:22:00Z</dcterms:created>
  <dcterms:modified xsi:type="dcterms:W3CDTF">2023-11-16T08:58:00Z</dcterms:modified>
</cp:coreProperties>
</file>