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045D5" w:rsidRDefault="00524B74" w:rsidP="00E97F89">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397700">
        <w:rPr>
          <w:sz w:val="23"/>
          <w:szCs w:val="23"/>
        </w:rPr>
        <w:t>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0045D5" w:rsidRDefault="00524B74" w:rsidP="00524B74">
      <w:pPr>
        <w:pStyle w:val="a7"/>
        <w:ind w:left="0"/>
        <w:jc w:val="both"/>
        <w:rPr>
          <w:rFonts w:ascii="Times New Roman" w:hAnsi="Times New Roman" w:cs="Times New Roman"/>
          <w:sz w:val="22"/>
          <w:szCs w:val="22"/>
        </w:rPr>
      </w:pPr>
      <w:r w:rsidRPr="000045D5">
        <w:rPr>
          <w:sz w:val="23"/>
          <w:szCs w:val="23"/>
        </w:rPr>
        <w:t xml:space="preserve">2.1.6. При оказании услуг на опасных производственных Объектах Заказчика, </w:t>
      </w:r>
      <w:r w:rsidRPr="000045D5">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0045D5">
        <w:rPr>
          <w:rFonts w:ascii="Times New Roman" w:hAnsi="Times New Roman" w:cs="Times New Roman"/>
          <w:sz w:val="22"/>
          <w:szCs w:val="22"/>
        </w:rPr>
        <w:t>Исполнителя</w:t>
      </w:r>
      <w:r w:rsidRPr="000045D5">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w:t>
      </w:r>
      <w:proofErr w:type="spellStart"/>
      <w:r w:rsidRPr="000045D5">
        <w:rPr>
          <w:rFonts w:ascii="Times New Roman" w:hAnsi="Times New Roman" w:cs="Times New Roman"/>
          <w:sz w:val="22"/>
          <w:szCs w:val="22"/>
        </w:rPr>
        <w:t>нарко</w:t>
      </w:r>
      <w:proofErr w:type="spellEnd"/>
      <w:r w:rsidRPr="000045D5">
        <w:rPr>
          <w:rFonts w:ascii="Times New Roman" w:hAnsi="Times New Roman" w:cs="Times New Roman"/>
          <w:sz w:val="22"/>
          <w:szCs w:val="22"/>
        </w:rPr>
        <w:t>- учет.</w:t>
      </w:r>
    </w:p>
    <w:p w:rsidR="00524B74" w:rsidRPr="000045D5" w:rsidRDefault="00524B74" w:rsidP="00D96505">
      <w:pPr>
        <w:pStyle w:val="a7"/>
        <w:ind w:left="0" w:firstLine="567"/>
        <w:jc w:val="both"/>
        <w:rPr>
          <w:rFonts w:ascii="Times New Roman" w:hAnsi="Times New Roman" w:cs="Times New Roman"/>
          <w:sz w:val="22"/>
          <w:szCs w:val="22"/>
        </w:rPr>
      </w:pPr>
      <w:r w:rsidRPr="000045D5">
        <w:rPr>
          <w:rFonts w:ascii="Times New Roman" w:hAnsi="Times New Roman" w:cs="Times New Roman"/>
          <w:sz w:val="22"/>
          <w:szCs w:val="22"/>
        </w:rPr>
        <w:t xml:space="preserve">В случае привлечения для выполнения Работ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A326D1" w:rsidRPr="000045D5">
        <w:rPr>
          <w:rFonts w:ascii="Times New Roman" w:hAnsi="Times New Roman" w:cs="Times New Roman"/>
          <w:sz w:val="22"/>
          <w:szCs w:val="22"/>
        </w:rPr>
        <w:t>)</w:t>
      </w:r>
      <w:r w:rsidRPr="000045D5">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0045D5">
        <w:rPr>
          <w:rFonts w:ascii="Times New Roman" w:hAnsi="Times New Roman" w:cs="Times New Roman"/>
          <w:sz w:val="22"/>
          <w:szCs w:val="22"/>
        </w:rPr>
        <w:t>Соисполнителей (</w:t>
      </w:r>
      <w:r w:rsidRPr="000045D5">
        <w:rPr>
          <w:rFonts w:ascii="Times New Roman" w:hAnsi="Times New Roman" w:cs="Times New Roman"/>
          <w:sz w:val="22"/>
          <w:szCs w:val="22"/>
        </w:rPr>
        <w:t>Субподрядчиков</w:t>
      </w:r>
      <w:r w:rsidR="00D1593E" w:rsidRPr="000045D5">
        <w:rPr>
          <w:rFonts w:ascii="Times New Roman" w:hAnsi="Times New Roman" w:cs="Times New Roman"/>
          <w:sz w:val="22"/>
          <w:szCs w:val="22"/>
        </w:rPr>
        <w:t>)</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 xml:space="preserve">осу Исполнителя предоставить последнему имеющиеся в распоряжении Заказчика и </w:t>
      </w:r>
      <w:r w:rsidR="00D96505" w:rsidRPr="000045D5">
        <w:rPr>
          <w:rFonts w:ascii="Times New Roman" w:eastAsia="Times New Roman" w:hAnsi="Times New Roman" w:cs="Times New Roman"/>
          <w:sz w:val="22"/>
          <w:szCs w:val="22"/>
        </w:rPr>
        <w:lastRenderedPageBreak/>
        <w:t>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bookmarkStart w:id="0" w:name="_GoBack"/>
      <w:bookmarkEnd w:id="0"/>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1" w:name="_gjdgxs" w:colFirst="0" w:colLast="0"/>
      <w:bookmarkEnd w:id="1"/>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w:t>
      </w:r>
      <w:r w:rsidR="00397700">
        <w:rPr>
          <w:rFonts w:ascii="Times New Roman" w:eastAsia="Times New Roman" w:hAnsi="Times New Roman" w:cs="Times New Roman"/>
          <w:sz w:val="22"/>
          <w:szCs w:val="22"/>
        </w:rPr>
        <w:t xml:space="preserve">в на расчетный счет Исполнителя </w:t>
      </w:r>
      <w:r w:rsidR="00397700" w:rsidRPr="00397700">
        <w:rPr>
          <w:rFonts w:ascii="Times New Roman" w:eastAsia="Times New Roman" w:hAnsi="Times New Roman" w:cs="Times New Roman"/>
          <w:sz w:val="22"/>
          <w:szCs w:val="22"/>
        </w:rPr>
        <w:t>на основании выставленного счета.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 xml:space="preserve">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w:t>
      </w:r>
      <w:r w:rsidR="0051553F" w:rsidRPr="000045D5">
        <w:rPr>
          <w:rFonts w:ascii="Times New Roman" w:hAnsi="Times New Roman" w:cs="Times New Roman"/>
          <w:sz w:val="22"/>
          <w:szCs w:val="22"/>
          <w:lang w:eastAsia="x-none"/>
        </w:rPr>
        <w:lastRenderedPageBreak/>
        <w:t>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D1454A">
        <w:rPr>
          <w:rFonts w:ascii="Times New Roman" w:eastAsia="Times New Roman" w:hAnsi="Times New Roman" w:cs="Times New Roman"/>
          <w:bCs/>
          <w:color w:val="auto"/>
          <w:sz w:val="22"/>
          <w:szCs w:val="22"/>
        </w:rPr>
        <w:t>пофамильным</w:t>
      </w:r>
      <w:proofErr w:type="spellEnd"/>
      <w:r w:rsidRPr="00D1454A">
        <w:rPr>
          <w:rFonts w:ascii="Times New Roman" w:eastAsia="Times New Roman" w:hAnsi="Times New Roman" w:cs="Times New Roman"/>
          <w:bCs/>
          <w:color w:val="auto"/>
          <w:sz w:val="22"/>
          <w:szCs w:val="22"/>
        </w:rPr>
        <w:t xml:space="preserve">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DB7210">
        <w:rPr>
          <w:rFonts w:ascii="Times New Roman" w:eastAsia="Times New Roman" w:hAnsi="Times New Roman" w:cs="Times New Roman"/>
          <w:bCs/>
          <w:color w:val="auto"/>
          <w:sz w:val="22"/>
          <w:szCs w:val="22"/>
        </w:rPr>
        <w:t>антистатичная</w:t>
      </w:r>
      <w:proofErr w:type="spellEnd"/>
      <w:r w:rsidRPr="00DB7210">
        <w:rPr>
          <w:rFonts w:ascii="Times New Roman" w:eastAsia="Times New Roman" w:hAnsi="Times New Roman" w:cs="Times New Roman"/>
          <w:bCs/>
          <w:color w:val="auto"/>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DB7210">
        <w:rPr>
          <w:rFonts w:ascii="Times New Roman" w:eastAsia="Times New Roman" w:hAnsi="Times New Roman" w:cs="Times New Roman"/>
          <w:bCs/>
          <w:color w:val="auto"/>
          <w:sz w:val="22"/>
          <w:szCs w:val="22"/>
        </w:rPr>
        <w:t>самоспасателя</w:t>
      </w:r>
      <w:proofErr w:type="spellEnd"/>
      <w:r w:rsidRPr="00DB7210">
        <w:rPr>
          <w:rFonts w:ascii="Times New Roman" w:eastAsia="Times New Roman" w:hAnsi="Times New Roman" w:cs="Times New Roman"/>
          <w:bCs/>
          <w:color w:val="auto"/>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принимать для обязательного исполнения предписания Управления по промышленной </w:t>
      </w:r>
      <w:r w:rsidRPr="00DB7210">
        <w:rPr>
          <w:rFonts w:ascii="Times New Roman" w:eastAsia="Times New Roman" w:hAnsi="Times New Roman" w:cs="Times New Roman"/>
          <w:bCs/>
          <w:color w:val="auto"/>
          <w:sz w:val="22"/>
          <w:szCs w:val="22"/>
        </w:rPr>
        <w:lastRenderedPageBreak/>
        <w:t>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w:t>
      </w:r>
      <w:proofErr w:type="spellStart"/>
      <w:r w:rsidRPr="00DB7210">
        <w:rPr>
          <w:rFonts w:ascii="Times New Roman" w:eastAsia="Times New Roman" w:hAnsi="Times New Roman" w:cs="Times New Roman"/>
          <w:bCs/>
          <w:color w:val="auto"/>
          <w:sz w:val="22"/>
          <w:szCs w:val="22"/>
        </w:rPr>
        <w:t>электробезопаспости</w:t>
      </w:r>
      <w:proofErr w:type="spellEnd"/>
      <w:r w:rsidRPr="00DB7210">
        <w:rPr>
          <w:rFonts w:ascii="Times New Roman" w:eastAsia="Times New Roman" w:hAnsi="Times New Roman" w:cs="Times New Roman"/>
          <w:bCs/>
          <w:color w:val="auto"/>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DB7210">
        <w:rPr>
          <w:rFonts w:ascii="Times New Roman" w:eastAsia="Times New Roman" w:hAnsi="Times New Roman" w:cs="Times New Roman"/>
          <w:bCs/>
          <w:color w:val="auto"/>
          <w:sz w:val="22"/>
          <w:szCs w:val="22"/>
        </w:rPr>
        <w:t>опрессованных</w:t>
      </w:r>
      <w:proofErr w:type="spellEnd"/>
      <w:r w:rsidRPr="00DB7210">
        <w:rPr>
          <w:rFonts w:ascii="Times New Roman" w:eastAsia="Times New Roman" w:hAnsi="Times New Roman" w:cs="Times New Roman"/>
          <w:bCs/>
          <w:color w:val="auto"/>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DB7210">
        <w:rPr>
          <w:rFonts w:ascii="Times New Roman" w:eastAsia="Times New Roman" w:hAnsi="Times New Roman" w:cs="Times New Roman"/>
          <w:bCs/>
          <w:color w:val="auto"/>
          <w:sz w:val="22"/>
          <w:szCs w:val="22"/>
        </w:rPr>
        <w:t>газорезательной</w:t>
      </w:r>
      <w:proofErr w:type="spellEnd"/>
      <w:r w:rsidRPr="00DB7210">
        <w:rPr>
          <w:rFonts w:ascii="Times New Roman" w:eastAsia="Times New Roman" w:hAnsi="Times New Roman" w:cs="Times New Roman"/>
          <w:bCs/>
          <w:color w:val="auto"/>
          <w:sz w:val="22"/>
          <w:szCs w:val="22"/>
        </w:rPr>
        <w:t xml:space="preserve">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000A0A0E" w:rsidRPr="000045D5">
        <w:rPr>
          <w:rFonts w:ascii="Times New Roman" w:hAnsi="Times New Roman" w:cs="Times New Roman"/>
          <w:sz w:val="22"/>
          <w:szCs w:val="22"/>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570B4A">
          <w:rPr>
            <w:rStyle w:val="ac"/>
            <w:rFonts w:ascii="Times New Roman" w:hAnsi="Times New Roman" w:cs="Times New Roman"/>
            <w:sz w:val="22"/>
            <w:szCs w:val="22"/>
          </w:rPr>
          <w:t>___________________________________</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 xml:space="preserve">или по телефону: </w:t>
      </w:r>
      <w:r w:rsidR="00570B4A">
        <w:rPr>
          <w:rFonts w:ascii="Times New Roman" w:hAnsi="Times New Roman" w:cs="Times New Roman"/>
          <w:sz w:val="22"/>
          <w:szCs w:val="22"/>
        </w:rPr>
        <w:t>________________________</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w:t>
      </w:r>
      <w:r w:rsidR="00397700">
        <w:rPr>
          <w:rFonts w:ascii="Times New Roman" w:eastAsia="Times New Roman" w:hAnsi="Times New Roman" w:cs="Times New Roman"/>
          <w:sz w:val="22"/>
          <w:szCs w:val="22"/>
        </w:rPr>
        <w:t xml:space="preserve"> или токсического опьянения – 10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(Соисполнителем) требований П 14.02-202</w:t>
      </w:r>
      <w:r w:rsidR="00397700">
        <w:rPr>
          <w:rFonts w:ascii="Times New Roman" w:eastAsia="Times New Roman" w:hAnsi="Times New Roman" w:cs="Times New Roman"/>
          <w:sz w:val="22"/>
          <w:szCs w:val="22"/>
        </w:rPr>
        <w:t>2</w:t>
      </w:r>
      <w:r w:rsidRPr="000045D5">
        <w:rPr>
          <w:rFonts w:ascii="Times New Roman" w:eastAsia="Times New Roman" w:hAnsi="Times New Roman" w:cs="Times New Roman"/>
          <w:sz w:val="22"/>
          <w:szCs w:val="22"/>
        </w:rPr>
        <w:t xml:space="preserve"> «Положение об </w:t>
      </w:r>
      <w:r w:rsidRPr="000045D5">
        <w:rPr>
          <w:rFonts w:ascii="Times New Roman" w:eastAsia="Times New Roman" w:hAnsi="Times New Roman" w:cs="Times New Roman"/>
          <w:sz w:val="22"/>
          <w:szCs w:val="22"/>
        </w:rPr>
        <w:lastRenderedPageBreak/>
        <w:t xml:space="preserve">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w:t>
      </w:r>
      <w:r w:rsidRPr="000045D5">
        <w:rPr>
          <w:rFonts w:ascii="Times New Roman" w:hAnsi="Times New Roman" w:cs="Times New Roman"/>
          <w:bCs/>
          <w:sz w:val="22"/>
          <w:szCs w:val="22"/>
          <w:lang w:eastAsia="x-none"/>
        </w:rPr>
        <w:lastRenderedPageBreak/>
        <w:t>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4969"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 xml:space="preserve">115035, г. Москва, </w:t>
            </w:r>
            <w:proofErr w:type="spellStart"/>
            <w:r w:rsidRPr="00B20F8E">
              <w:rPr>
                <w:rFonts w:ascii="Times New Roman" w:hAnsi="Times New Roman" w:cs="Times New Roman"/>
              </w:rPr>
              <w:t>вн.тер.г</w:t>
            </w:r>
            <w:proofErr w:type="spellEnd"/>
            <w:r w:rsidRPr="00B20F8E">
              <w:rPr>
                <w:rFonts w:ascii="Times New Roman" w:hAnsi="Times New Roman" w:cs="Times New Roman"/>
              </w:rPr>
              <w:t xml:space="preserve">. Муниципальный Округ Замоскворечье, </w:t>
            </w:r>
            <w:proofErr w:type="spellStart"/>
            <w:r w:rsidRPr="00B20F8E">
              <w:rPr>
                <w:rFonts w:ascii="Times New Roman" w:hAnsi="Times New Roman" w:cs="Times New Roman"/>
              </w:rPr>
              <w:t>ул</w:t>
            </w:r>
            <w:proofErr w:type="spellEnd"/>
            <w:r w:rsidRPr="00B20F8E">
              <w:rPr>
                <w:rFonts w:ascii="Times New Roman" w:hAnsi="Times New Roman" w:cs="Times New Roman"/>
              </w:rPr>
              <w:t xml:space="preserve"> Садовническая, д. 12, этаж/офис 2/16</w:t>
            </w:r>
          </w:p>
          <w:p w:rsidR="00A326D1" w:rsidRPr="000045D5" w:rsidRDefault="00A326D1" w:rsidP="00B20F8E">
            <w:pPr>
              <w:widowControl w:val="0"/>
              <w:tabs>
                <w:tab w:val="left" w:pos="540"/>
              </w:tabs>
              <w:rPr>
                <w:rFonts w:ascii="Times New Roman" w:hAnsi="Times New Roman" w:cs="Times New Roman"/>
              </w:rPr>
            </w:pPr>
            <w:r w:rsidRPr="000045D5">
              <w:rPr>
                <w:rFonts w:ascii="Times New Roman" w:hAnsi="Times New Roman" w:cs="Times New Roman"/>
              </w:rPr>
              <w:t>Фактический и почтовый адрес:</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РФ Тюменская область,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CD4" w:rsidRDefault="00797CD4">
      <w:r>
        <w:separator/>
      </w:r>
    </w:p>
  </w:endnote>
  <w:endnote w:type="continuationSeparator" w:id="0">
    <w:p w:rsidR="00797CD4" w:rsidRDefault="007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panose1 w:val="02070409020205020404"/>
    <w:charset w:val="CC"/>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2056FA">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CD4" w:rsidRDefault="00797CD4">
      <w:r>
        <w:separator/>
      </w:r>
    </w:p>
  </w:footnote>
  <w:footnote w:type="continuationSeparator" w:id="0">
    <w:p w:rsidR="00797CD4" w:rsidRDefault="0079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D4D26"/>
    <w:rsid w:val="002056FA"/>
    <w:rsid w:val="00212CD2"/>
    <w:rsid w:val="00236AFB"/>
    <w:rsid w:val="002622B4"/>
    <w:rsid w:val="0027670D"/>
    <w:rsid w:val="002B231E"/>
    <w:rsid w:val="002B2997"/>
    <w:rsid w:val="00315315"/>
    <w:rsid w:val="00327E84"/>
    <w:rsid w:val="003467F7"/>
    <w:rsid w:val="00372817"/>
    <w:rsid w:val="00391BD9"/>
    <w:rsid w:val="00397700"/>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70B4A"/>
    <w:rsid w:val="005D6A3B"/>
    <w:rsid w:val="00685AD8"/>
    <w:rsid w:val="006902EC"/>
    <w:rsid w:val="00693F55"/>
    <w:rsid w:val="0069515D"/>
    <w:rsid w:val="006A21B3"/>
    <w:rsid w:val="006E55AE"/>
    <w:rsid w:val="006F424B"/>
    <w:rsid w:val="007120AA"/>
    <w:rsid w:val="0077381D"/>
    <w:rsid w:val="00795EE4"/>
    <w:rsid w:val="00797CD4"/>
    <w:rsid w:val="008D4241"/>
    <w:rsid w:val="008E3F8C"/>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61690"/>
    <w:rsid w:val="00B90FE5"/>
    <w:rsid w:val="00B97BAB"/>
    <w:rsid w:val="00BD575C"/>
    <w:rsid w:val="00C021B4"/>
    <w:rsid w:val="00C3339A"/>
    <w:rsid w:val="00C4434C"/>
    <w:rsid w:val="00C73F8D"/>
    <w:rsid w:val="00C96667"/>
    <w:rsid w:val="00CF7FDB"/>
    <w:rsid w:val="00D01F11"/>
    <w:rsid w:val="00D1454A"/>
    <w:rsid w:val="00D14984"/>
    <w:rsid w:val="00D1593E"/>
    <w:rsid w:val="00D160AD"/>
    <w:rsid w:val="00D86455"/>
    <w:rsid w:val="00D96505"/>
    <w:rsid w:val="00DA6002"/>
    <w:rsid w:val="00DB1A01"/>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C65E7"/>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8280</Words>
  <Characters>47196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Энергосервис-Тендер</cp:lastModifiedBy>
  <cp:revision>5</cp:revision>
  <cp:lastPrinted>2022-02-07T04:19:00Z</cp:lastPrinted>
  <dcterms:created xsi:type="dcterms:W3CDTF">2022-12-12T06:22:00Z</dcterms:created>
  <dcterms:modified xsi:type="dcterms:W3CDTF">2024-01-24T08:09:00Z</dcterms:modified>
</cp:coreProperties>
</file>