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w:t>
      </w:r>
      <w:r w:rsidR="00397700">
        <w:rPr>
          <w:sz w:val="23"/>
          <w:szCs w:val="23"/>
        </w:rPr>
        <w:t>2</w:t>
      </w:r>
      <w:r w:rsidRPr="000045D5">
        <w:rPr>
          <w:sz w:val="23"/>
          <w:szCs w:val="23"/>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 xml:space="preserve">осу Исполнителя предоставить последнему имеющиеся в распоряжении Заказчика и </w:t>
      </w:r>
      <w:r w:rsidR="00D96505" w:rsidRPr="000045D5">
        <w:rPr>
          <w:rFonts w:ascii="Times New Roman" w:eastAsia="Times New Roman" w:hAnsi="Times New Roman" w:cs="Times New Roman"/>
          <w:sz w:val="22"/>
          <w:szCs w:val="22"/>
        </w:rPr>
        <w:lastRenderedPageBreak/>
        <w:t>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w:t>
      </w:r>
      <w:r w:rsidR="00397700">
        <w:rPr>
          <w:rFonts w:ascii="Times New Roman" w:eastAsia="Times New Roman" w:hAnsi="Times New Roman" w:cs="Times New Roman"/>
          <w:sz w:val="22"/>
          <w:szCs w:val="22"/>
        </w:rPr>
        <w:t xml:space="preserve">в на расчетный счет Исполнителя </w:t>
      </w:r>
      <w:r w:rsidR="00397700" w:rsidRPr="00397700">
        <w:rPr>
          <w:rFonts w:ascii="Times New Roman" w:eastAsia="Times New Roman" w:hAnsi="Times New Roman" w:cs="Times New Roman"/>
          <w:sz w:val="22"/>
          <w:szCs w:val="22"/>
        </w:rPr>
        <w:t>на основании выставленного счета.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 xml:space="preserve">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w:t>
      </w:r>
      <w:r w:rsidR="0051553F" w:rsidRPr="000045D5">
        <w:rPr>
          <w:rFonts w:ascii="Times New Roman" w:hAnsi="Times New Roman" w:cs="Times New Roman"/>
          <w:sz w:val="22"/>
          <w:szCs w:val="22"/>
          <w:lang w:eastAsia="x-none"/>
        </w:rPr>
        <w:lastRenderedPageBreak/>
        <w:t>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3B5ACA">
          <w:rPr>
            <w:rStyle w:val="ac"/>
            <w:rFonts w:ascii="Times New Roman" w:hAnsi="Times New Roman" w:cs="Times New Roman"/>
            <w:sz w:val="22"/>
            <w:szCs w:val="22"/>
          </w:rPr>
          <w:t>____________________________</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 xml:space="preserve">или по телефону: </w:t>
      </w:r>
      <w:r w:rsidR="003B5ACA">
        <w:rPr>
          <w:rFonts w:ascii="Times New Roman" w:hAnsi="Times New Roman" w:cs="Times New Roman"/>
          <w:sz w:val="22"/>
          <w:szCs w:val="22"/>
        </w:rPr>
        <w:t>______________________________</w:t>
      </w:r>
      <w:bookmarkStart w:id="1" w:name="_GoBack"/>
      <w:bookmarkEnd w:id="1"/>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w:t>
      </w:r>
      <w:r w:rsidR="00397700">
        <w:rPr>
          <w:rFonts w:ascii="Times New Roman" w:eastAsia="Times New Roman" w:hAnsi="Times New Roman" w:cs="Times New Roman"/>
          <w:sz w:val="22"/>
          <w:szCs w:val="22"/>
        </w:rPr>
        <w:t xml:space="preserve"> или токсического опьянения – 10</w:t>
      </w:r>
      <w:r w:rsidRPr="00DA6002">
        <w:rPr>
          <w:rFonts w:ascii="Times New Roman" w:eastAsia="Times New Roman" w:hAnsi="Times New Roman" w:cs="Times New Roman"/>
          <w:sz w:val="22"/>
          <w:szCs w:val="22"/>
        </w:rPr>
        <w:t>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(Соисполнителем) требований П 14.02-202</w:t>
      </w:r>
      <w:r w:rsidR="00397700">
        <w:rPr>
          <w:rFonts w:ascii="Times New Roman" w:eastAsia="Times New Roman" w:hAnsi="Times New Roman" w:cs="Times New Roman"/>
          <w:sz w:val="22"/>
          <w:szCs w:val="22"/>
        </w:rPr>
        <w:t>2</w:t>
      </w:r>
      <w:r w:rsidRPr="000045D5">
        <w:rPr>
          <w:rFonts w:ascii="Times New Roman" w:eastAsia="Times New Roman" w:hAnsi="Times New Roman" w:cs="Times New Roman"/>
          <w:sz w:val="22"/>
          <w:szCs w:val="22"/>
        </w:rPr>
        <w:t xml:space="preserve">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w:t>
      </w:r>
      <w:r w:rsidRPr="000045D5">
        <w:rPr>
          <w:rFonts w:ascii="Times New Roman" w:hAnsi="Times New Roman" w:cs="Times New Roman"/>
          <w:bCs/>
          <w:sz w:val="22"/>
          <w:szCs w:val="22"/>
          <w:lang w:eastAsia="x-none"/>
        </w:rPr>
        <w:lastRenderedPageBreak/>
        <w:t>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115035, г. Москва, вн.тер.г. Муниципальный Округ Замоскворечье, ул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D1593E" w:rsidP="00D1593E">
            <w:pPr>
              <w:widowControl/>
              <w:contextualSpacing/>
              <w:rPr>
                <w:rFonts w:ascii="Times New Roman" w:eastAsiaTheme="minorHAnsi" w:hAnsi="Times New Roman" w:cs="Times New Roman"/>
                <w:color w:val="auto"/>
                <w:sz w:val="22"/>
                <w:szCs w:val="22"/>
                <w:lang w:eastAsia="en-US"/>
              </w:rPr>
            </w:pP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color w:val="auto"/>
                <w:sz w:val="22"/>
                <w:szCs w:val="22"/>
                <w:lang w:eastAsia="en-US"/>
              </w:rPr>
            </w:pP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D1593E"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7</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contextualSpacing/>
              <w:jc w:val="both"/>
              <w:rPr>
                <w:rFonts w:ascii="Times New Roman" w:eastAsiaTheme="minorHAnsi" w:hAnsi="Times New Roman" w:cs="Times New Roman"/>
                <w:color w:val="auto"/>
                <w:sz w:val="22"/>
                <w:szCs w:val="22"/>
                <w:lang w:eastAsia="en-US"/>
              </w:rPr>
            </w:pP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7CD4" w:rsidRDefault="00797CD4">
      <w:r>
        <w:separator/>
      </w:r>
    </w:p>
  </w:endnote>
  <w:endnote w:type="continuationSeparator" w:id="0">
    <w:p w:rsidR="00797CD4" w:rsidRDefault="0079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2056FA">
      <w:rPr>
        <w:rFonts w:ascii="Times New Roman" w:hAnsi="Times New Roman" w:cs="Times New Roman"/>
        <w:noProof/>
        <w:sz w:val="20"/>
        <w:szCs w:val="20"/>
      </w:rPr>
      <w:t>14</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7CD4" w:rsidRDefault="00797CD4">
      <w:r>
        <w:separator/>
      </w:r>
    </w:p>
  </w:footnote>
  <w:footnote w:type="continuationSeparator" w:id="0">
    <w:p w:rsidR="00797CD4" w:rsidRDefault="0079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D4D26"/>
    <w:rsid w:val="002056FA"/>
    <w:rsid w:val="00212CD2"/>
    <w:rsid w:val="00236AFB"/>
    <w:rsid w:val="002622B4"/>
    <w:rsid w:val="0027670D"/>
    <w:rsid w:val="002B231E"/>
    <w:rsid w:val="002B2997"/>
    <w:rsid w:val="00315315"/>
    <w:rsid w:val="00327E84"/>
    <w:rsid w:val="003467F7"/>
    <w:rsid w:val="00372817"/>
    <w:rsid w:val="00391BD9"/>
    <w:rsid w:val="00397700"/>
    <w:rsid w:val="003A7F8F"/>
    <w:rsid w:val="003B03E7"/>
    <w:rsid w:val="003B5ACA"/>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7381D"/>
    <w:rsid w:val="00795EE4"/>
    <w:rsid w:val="00797CD4"/>
    <w:rsid w:val="008D4241"/>
    <w:rsid w:val="008E3F8C"/>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D575C"/>
    <w:rsid w:val="00C021B4"/>
    <w:rsid w:val="00C3339A"/>
    <w:rsid w:val="00C4434C"/>
    <w:rsid w:val="00C73F8D"/>
    <w:rsid w:val="00C96667"/>
    <w:rsid w:val="00CF7FDB"/>
    <w:rsid w:val="00D01F11"/>
    <w:rsid w:val="00D1454A"/>
    <w:rsid w:val="00D14984"/>
    <w:rsid w:val="00D1593E"/>
    <w:rsid w:val="00D160AD"/>
    <w:rsid w:val="00D86455"/>
    <w:rsid w:val="00D96505"/>
    <w:rsid w:val="00DA6002"/>
    <w:rsid w:val="00DB1A01"/>
    <w:rsid w:val="00DB7210"/>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A35E7"/>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8279</Words>
  <Characters>47196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Энергосервис-Тендер</cp:lastModifiedBy>
  <cp:revision>5</cp:revision>
  <cp:lastPrinted>2022-02-07T04:19:00Z</cp:lastPrinted>
  <dcterms:created xsi:type="dcterms:W3CDTF">2022-12-12T06:22:00Z</dcterms:created>
  <dcterms:modified xsi:type="dcterms:W3CDTF">2024-01-25T07:32:00Z</dcterms:modified>
</cp:coreProperties>
</file>