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F5727F" w:rsidTr="00F5727F">
        <w:tc>
          <w:tcPr>
            <w:tcW w:w="4219" w:type="dxa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</w:t>
            </w:r>
          </w:p>
        </w:tc>
        <w:tc>
          <w:tcPr>
            <w:tcW w:w="1559" w:type="dxa"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pStyle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F5727F" w:rsidRDefault="00F5727F" w:rsidP="00F5727F">
      <w:pPr>
        <w:rPr>
          <w:sz w:val="24"/>
          <w:szCs w:val="24"/>
        </w:rPr>
      </w:pPr>
    </w:p>
    <w:p w:rsidR="00F5727F" w:rsidRDefault="00F5727F" w:rsidP="00F5727F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поставку _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услуги по </w:t>
      </w:r>
      <w:r>
        <w:rPr>
          <w:rFonts w:ascii="Times New Roman" w:hAnsi="Times New Roman"/>
          <w:sz w:val="24"/>
          <w:szCs w:val="24"/>
          <w:u w:val="single"/>
        </w:rPr>
        <w:t>проведению экспертизы промышленной безопасности технических устройств и сооружений опасных производственных объектов 1, 2, 4 класса опасности филиала ООО «РУСИНВЕСТ»-«ТНПЗ».</w:t>
      </w: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г. Тюмень</w:t>
      </w:r>
    </w:p>
    <w:p w:rsidR="00F5727F" w:rsidRDefault="00F5727F" w:rsidP="00F5727F">
      <w:pPr>
        <w:rPr>
          <w:rFonts w:ascii="Times New Roman" w:hAnsi="Times New Roman"/>
          <w:sz w:val="28"/>
          <w:szCs w:val="28"/>
        </w:rPr>
        <w:sectPr w:rsidR="00F5727F">
          <w:pgSz w:w="11906" w:h="16838"/>
          <w:pgMar w:top="1134" w:right="567" w:bottom="1134" w:left="1701" w:header="709" w:footer="709" w:gutter="0"/>
          <w:cols w:space="720"/>
        </w:sectPr>
      </w:pPr>
    </w:p>
    <w:p w:rsidR="00F5727F" w:rsidRDefault="00F5727F" w:rsidP="00F5727F">
      <w:pPr>
        <w:pStyle w:val="af2"/>
        <w:tabs>
          <w:tab w:val="left" w:pos="4959"/>
        </w:tabs>
        <w:spacing w:before="27" w:after="19" w:line="271" w:lineRule="auto"/>
        <w:ind w:left="693" w:right="592" w:hanging="5"/>
        <w:jc w:val="center"/>
        <w:rPr>
          <w:b/>
          <w:color w:val="212121"/>
          <w:w w:val="105"/>
          <w:sz w:val="24"/>
          <w:szCs w:val="24"/>
        </w:rPr>
      </w:pPr>
    </w:p>
    <w:tbl>
      <w:tblPr>
        <w:tblStyle w:val="a7"/>
        <w:tblW w:w="10093" w:type="dxa"/>
        <w:tblInd w:w="-459" w:type="dxa"/>
        <w:tblLook w:val="04A0" w:firstRow="1" w:lastRow="0" w:firstColumn="1" w:lastColumn="0" w:noHBand="0" w:noVBand="1"/>
      </w:tblPr>
      <w:tblGrid>
        <w:gridCol w:w="2989"/>
        <w:gridCol w:w="7104"/>
      </w:tblGrid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6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Предприятие-Заказчик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 ООО «РУСИНВЕСТ»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Наименование подрядной организации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По результатам отбора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Основание для выполнения работ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 Исполнение ст. 7, ст. 13 п.1 Федерального закона от 21.07.1997 № 116-ФЗ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Наименование объекта и место работ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4.1. Опасные производственные объекты I и II класса опасности филиала ООО «РУСИНВЕСТ»-«ТНПЗ» 625047, Тюменская область, г. Тюмень, ул. 6 км Старого Тобольского тракта, 20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Вид работ (услуг)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 Проведение экспертизы промышленной безопасности технических устройств и сооружений опасных производственных объектов I и II класса опасности филиала ООО «РУСИНВЕСТ»-«ТНПЗ»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Сроки выполнения работ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6.1. Срок оказания услуг составляет не более 30 (тридцати) рабочих дней со дня получения исполнителем комплекта необходимых материалов и документов, передачи оборудования под экспертизу. 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Требования к подрядчику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F" w:rsidRDefault="00F5727F">
            <w:pPr>
              <w:ind w:left="7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7.1. Наличие действующей Лицензии, выданной Федеральной службой по экологическому, технологическому и атомному надзору в соответствии с Положением о лицензировании деятельности по проведению экспертизы промышленной безопасности от 16 сентября 2020 года за № 1477   на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 проведение экспертизы промышленной безопасности зданий и сооружений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      </w:r>
          </w:p>
          <w:p w:rsidR="00F5727F" w:rsidRDefault="00F5727F">
            <w:pPr>
              <w:ind w:left="7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7.2. Наличие собственной или привлечённой лаборатории неразрушающего контроля (ЛНК), аттестованной в соответствии с СДАНК-01-2020 «Правила аттестации и основные требования к лабораториям неразрушающего контроля" от 29.12.2020 № 99-БНС или в соответствии с ПБ 03-372-00 в случае, если аттестация проведена до 01.01.2021 г. </w:t>
            </w:r>
          </w:p>
          <w:p w:rsidR="00F5727F" w:rsidRDefault="00F5727F">
            <w:pPr>
              <w:ind w:left="7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контроля:</w:t>
            </w:r>
          </w:p>
          <w:p w:rsidR="00F5727F" w:rsidRDefault="00F5727F" w:rsidP="00F5727F">
            <w:pPr>
              <w:pStyle w:val="a6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оборудование, работающее под давлением;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системы газоснабжения (газораспределения);</w:t>
            </w:r>
          </w:p>
          <w:p w:rsidR="00F5727F" w:rsidRDefault="00F5727F" w:rsidP="00F5727F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подъемные сооружения;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оборудование нефтяной и газовой промышленности;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оборудование взрывопожароопасных и химически опасных производств;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здания и сооружения.</w:t>
            </w:r>
          </w:p>
          <w:p w:rsidR="00F5727F" w:rsidRDefault="00F5727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(методы) контроля: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ультразвуковой (УК);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магнитный (МК);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проникающими веществами (ПВК, ПВТ);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вибродиагностический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(ВД);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визуальный и измерительный (ВИК).</w:t>
            </w:r>
          </w:p>
          <w:p w:rsidR="00F5727F" w:rsidRDefault="00F5727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7.3. Наличие следующих кадровых ресурсов, позволяющих оказать услуги, являющиеся предметом закупки:</w:t>
            </w:r>
          </w:p>
          <w:p w:rsidR="00F5727F" w:rsidRDefault="00F5727F" w:rsidP="00F5727F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экспертов соответствующих требованиям, установленным федеральными нормами и правилами в области промышленной безопасности, аттестованных в порядке, установленном Правительством Российской Федерации, в областях аттестации экспертизы, в том числе, в обязательном порядке наличие экспертов не ниже второй категории с областями аттестации экспертов в области промышленной безопасности Э7 ТУ, Э7 ЗС, Э11 ТУ, Э11 ЗС, Э12 ТУ; Э12 ЗС, не ниже третьей категории с областями аттестации экспертов в области промышленной безопасности Э14.4 ТУ.  Подтверждается записью в реестре экспертов.</w:t>
            </w:r>
          </w:p>
          <w:p w:rsidR="00F5727F" w:rsidRDefault="00F5727F" w:rsidP="00F5727F">
            <w:pPr>
              <w:pStyle w:val="a6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специалистов в области неразрушающего контроля (ВИК, УК, ПВК, ПВТ, ВД, МК), аттестованных в соответствии с приложением 1 к СДАНК-02-2020. «Правила аттестации персонала в области неразрушающего контроля» от 29.12.2020 №99-БНС (или в соответствии с ПБ 03-440-02 в случае если аттестация персонала проведена до 01.01.2021 г.) на выполнение услуг на объектах контроля, – в количестве не менее 4 (четырёх) специалистов, аттестованных на II уровень, имеющих право проводить неразрушающий контроль, на высоте (не ниже 2 группы безопасности – 2 чел., 2 чел. - 3 группы). Подтверждается копиями удостоверений.</w:t>
            </w:r>
          </w:p>
          <w:p w:rsidR="00F5727F" w:rsidRDefault="00F5727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7.4. Персонал должен пройти обучение и проверку знаний по охране труда.</w:t>
            </w:r>
          </w:p>
          <w:p w:rsidR="00F5727F" w:rsidRDefault="00F5727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7.5. Наличие у специалистов Подрядчика спецодежды, спецобуви и средств индивидуальной защиты, обеспечивающей безопасное выполнение работ на оборудовании Заказчика.</w:t>
            </w:r>
          </w:p>
          <w:p w:rsidR="00F5727F" w:rsidRDefault="00F5727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7.6. Наличие успешного опыта исполнения аналогичных договоров (с аналогичным оборудованием) в сфере проведения экспертизы промышленной безопасности технических устройств, зданий и сооружений за последние 2 года, предшествовавших первоначальной дате публикации Извещения об осуществлении Закупки. </w:t>
            </w:r>
          </w:p>
          <w:p w:rsidR="00F5727F" w:rsidRDefault="00F5727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8. Требования к применяемому оборудованию 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 Все оборудование (инструменты, приспособления, приборы) используемые для оказания услуг, должны иметь свидетельства о поверке (если требуется). Подрядчик должен предоставить справку о наличии оборудования, свидетельства о поверке (если она требуется).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Требования и условия к выполнению работ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 Оплата производится Заказчиком в безналичном порядке, путём перечисления денежных средств на расчётный счёт исполнителя в течение 45 (сорока пяти) календарных дней после регистрации заключения экспертизы промышленной безопасности в государственном реестре.</w:t>
            </w:r>
          </w:p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9.2. Оказанные услуги должны соответствовать требованиям Федерального закона № 116-ФЗ от 27.07.1997 «О промышленной безопасности опасных производственных объектов».</w:t>
            </w:r>
          </w:p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9.3. До начала оказания услуг, Исполнитель разрабатывает и согласовывает с Заказчиком программы проведения ЭПБ.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 Комплексность отчетной документации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 Заключение экспертизы промышленной безопасности предоставляется в 1 экземпляре на бумажном носителе и на электронном носителе в не редактируемом формате.</w:t>
            </w:r>
          </w:p>
        </w:tc>
      </w:tr>
      <w:tr w:rsidR="00F5727F" w:rsidTr="00F5727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tabs>
                <w:tab w:val="left" w:pos="4959"/>
              </w:tabs>
              <w:ind w:right="-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Дополнительные условия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7F" w:rsidRDefault="00F5727F">
            <w:pPr>
              <w:pStyle w:val="af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 Документация для разработки экспертизы предоставляется в электронном (не редактируемом формате).</w:t>
            </w:r>
          </w:p>
        </w:tc>
      </w:tr>
    </w:tbl>
    <w:p w:rsidR="00F5727F" w:rsidRDefault="00F5727F" w:rsidP="00F5727F">
      <w:pPr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Приложения: 1. Перечень технических устройств (запорно-регулирующая арматура)                </w:t>
      </w:r>
    </w:p>
    <w:p w:rsidR="00F5727F" w:rsidRDefault="00F5727F" w:rsidP="00F572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2. Перечень технических устройств (подъёмные сооружения)</w:t>
      </w:r>
    </w:p>
    <w:p w:rsidR="00F5727F" w:rsidRDefault="00F5727F" w:rsidP="00F5727F">
      <w:pPr>
        <w:rPr>
          <w:rFonts w:ascii="Times New Roman" w:hAnsi="Times New Roman"/>
          <w:b/>
          <w:sz w:val="24"/>
          <w:szCs w:val="24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bookmarkStart w:id="0" w:name="_GoBack"/>
      <w:bookmarkEnd w:id="0"/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tabs>
          <w:tab w:val="left" w:pos="8820"/>
        </w:tabs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rPr>
          <w:rFonts w:ascii="Times New Roman" w:hAnsi="Times New Roman"/>
        </w:rPr>
        <w:sectPr w:rsidR="00F5727F">
          <w:pgSz w:w="11906" w:h="16838"/>
          <w:pgMar w:top="1134" w:right="566" w:bottom="1134" w:left="1701" w:header="708" w:footer="708" w:gutter="0"/>
          <w:cols w:space="720"/>
        </w:sectPr>
      </w:pPr>
    </w:p>
    <w:p w:rsidR="00F5727F" w:rsidRDefault="00F5727F" w:rsidP="00F572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технических устройств и сооружений </w:t>
      </w:r>
      <w:r>
        <w:rPr>
          <w:rFonts w:ascii="Times New Roman" w:hAnsi="Times New Roman"/>
          <w:sz w:val="24"/>
          <w:szCs w:val="24"/>
        </w:rPr>
        <w:t xml:space="preserve">(запорно-регулирующая арматура)   </w:t>
      </w:r>
    </w:p>
    <w:p w:rsidR="00F5727F" w:rsidRDefault="00F5727F" w:rsidP="00F5727F">
      <w:pPr>
        <w:jc w:val="center"/>
        <w:rPr>
          <w:rFonts w:ascii="Times New Roman" w:hAnsi="Times New Roman"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708"/>
        <w:gridCol w:w="709"/>
        <w:gridCol w:w="567"/>
        <w:gridCol w:w="992"/>
        <w:gridCol w:w="851"/>
        <w:gridCol w:w="567"/>
        <w:gridCol w:w="850"/>
        <w:gridCol w:w="1134"/>
        <w:gridCol w:w="851"/>
        <w:gridCol w:w="1134"/>
        <w:gridCol w:w="1276"/>
        <w:gridCol w:w="1134"/>
        <w:gridCol w:w="1134"/>
        <w:gridCol w:w="992"/>
        <w:gridCol w:w="2787"/>
      </w:tblGrid>
      <w:tr w:rsidR="00F5727F" w:rsidTr="00F5727F">
        <w:trPr>
          <w:gridAfter w:val="1"/>
          <w:wAfter w:w="2787" w:type="dxa"/>
          <w:trHeight w:val="2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ТУ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Кол-во, 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Номер инв.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Место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Dy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 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Py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 МПа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Цена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ед.оборудования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 без НДС,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НДС,  руб.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Цена за ед. оборудования с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Стомость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всего,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(без НДС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),  руб.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Всего,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( НДС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),  руб.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Стомость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всего,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(с НДС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),  руб.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F5727F" w:rsidTr="00F5727F">
        <w:trPr>
          <w:gridAfter w:val="1"/>
          <w:wAfter w:w="2787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УГДТ</w:t>
            </w: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Клапан отсечной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</w:t>
            </w:r>
            <w:r>
              <w:rPr>
                <w:rFonts w:ascii="Times New Roman" w:hAnsi="Times New Roman"/>
                <w:lang w:eastAsia="en-US"/>
              </w:rPr>
              <w:lastRenderedPageBreak/>
              <w:t>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</w:t>
            </w:r>
            <w:r>
              <w:rPr>
                <w:rFonts w:ascii="Times New Roman" w:hAnsi="Times New Roman"/>
                <w:lang w:eastAsia="en-US"/>
              </w:rPr>
              <w:lastRenderedPageBreak/>
              <w:t>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Нестабильный </w:t>
            </w:r>
            <w:r>
              <w:rPr>
                <w:rFonts w:ascii="Times New Roman" w:hAnsi="Times New Roman"/>
                <w:lang w:eastAsia="en-US"/>
              </w:rPr>
              <w:lastRenderedPageBreak/>
              <w:t>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сепаратора V401 до насоса Р401А/В.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насосов Р401/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А,В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до клапана</w:t>
            </w:r>
            <w:r>
              <w:rPr>
                <w:rFonts w:ascii="Times New Roman" w:hAnsi="Times New Roman"/>
                <w:lang w:eastAsia="en-US"/>
              </w:rPr>
              <w:br/>
              <w:t xml:space="preserve"> FV 3525 и до секции 1 ГО ДТ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</w:t>
            </w:r>
            <w:r>
              <w:rPr>
                <w:rFonts w:ascii="Times New Roman" w:hAnsi="Times New Roman"/>
                <w:lang w:eastAsia="en-US"/>
              </w:rPr>
              <w:lastRenderedPageBreak/>
              <w:t>т 175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насосов Р401/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А,</w:t>
            </w:r>
            <w:r>
              <w:rPr>
                <w:rFonts w:ascii="Times New Roman" w:hAnsi="Times New Roman"/>
                <w:lang w:eastAsia="en-US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до клапана</w:t>
            </w:r>
            <w:r>
              <w:rPr>
                <w:rFonts w:ascii="Times New Roman" w:hAnsi="Times New Roman"/>
                <w:lang w:eastAsia="en-US"/>
              </w:rPr>
              <w:br/>
              <w:t xml:space="preserve"> FV 3525 и до секции 1 ГО ДТ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Нестабильный </w:t>
            </w:r>
            <w:r>
              <w:rPr>
                <w:rFonts w:ascii="Times New Roman" w:hAnsi="Times New Roman"/>
                <w:lang w:eastAsia="en-US"/>
              </w:rPr>
              <w:lastRenderedPageBreak/>
              <w:t>бензин гидроочистки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Затвор обратный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насосов Р401/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А,В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до клапана</w:t>
            </w:r>
            <w:r>
              <w:rPr>
                <w:rFonts w:ascii="Times New Roman" w:hAnsi="Times New Roman"/>
                <w:lang w:eastAsia="en-US"/>
              </w:rPr>
              <w:br/>
              <w:t xml:space="preserve"> FV 3525 и до секции 1 ГО ДТ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Oт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насосов Р401/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А,В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до клапана</w:t>
            </w:r>
            <w:r>
              <w:rPr>
                <w:rFonts w:ascii="Times New Roman" w:hAnsi="Times New Roman"/>
                <w:lang w:eastAsia="en-US"/>
              </w:rPr>
              <w:br/>
              <w:t xml:space="preserve"> FV 3525 и до секции 1 ГО ДТ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Нестабильный бензин гидроочистки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4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Клапан отсечной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5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5727F" w:rsidTr="00F5727F">
        <w:trPr>
          <w:gridAfter w:val="1"/>
          <w:wAfter w:w="2787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Клапан регулирующий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Клапан регулирующий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Р01205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 установки УГПМ до секции I ГО ДТ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Легкий газойль коксования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АТ-3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gridAfter w:val="1"/>
          <w:wAfter w:w="2787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Задвижка клиновая стальная фланцевая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нефть/нефтепродукты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F5727F" w:rsidTr="00F5727F">
        <w:trPr>
          <w:trHeight w:val="315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F5727F" w:rsidRDefault="00F5727F" w:rsidP="00F572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F5727F" w:rsidRDefault="00F5727F" w:rsidP="00F572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727F" w:rsidRDefault="00F5727F" w:rsidP="00F572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5727F" w:rsidRDefault="00F5727F" w:rsidP="00F5727F">
      <w:pPr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</w:t>
      </w:r>
    </w:p>
    <w:p w:rsidR="00F5727F" w:rsidRDefault="00F5727F" w:rsidP="00F5727F">
      <w:pPr>
        <w:jc w:val="right"/>
        <w:rPr>
          <w:rFonts w:ascii="Times New Roman" w:hAnsi="Times New Roman"/>
        </w:rPr>
      </w:pPr>
    </w:p>
    <w:p w:rsidR="00F5727F" w:rsidRDefault="00F5727F" w:rsidP="00F5727F">
      <w:pPr>
        <w:rPr>
          <w:rFonts w:ascii="Times New Roman" w:hAnsi="Times New Roman"/>
        </w:rPr>
      </w:pPr>
    </w:p>
    <w:p w:rsidR="00F5727F" w:rsidRDefault="00F5727F" w:rsidP="00F572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Перечень технических устройств и сооружений</w:t>
      </w:r>
      <w:r>
        <w:rPr>
          <w:rFonts w:ascii="Times New Roman" w:hAnsi="Times New Roman"/>
          <w:sz w:val="24"/>
          <w:szCs w:val="24"/>
        </w:rPr>
        <w:t xml:space="preserve"> (подъёмные сооружения)</w:t>
      </w:r>
    </w:p>
    <w:p w:rsidR="00F5727F" w:rsidRDefault="00F5727F" w:rsidP="00F5727F">
      <w:pPr>
        <w:jc w:val="center"/>
        <w:rPr>
          <w:rFonts w:ascii="Times New Roman" w:hAnsi="Times New Roman"/>
        </w:rPr>
      </w:pPr>
    </w:p>
    <w:tbl>
      <w:tblPr>
        <w:tblW w:w="14198" w:type="dxa"/>
        <w:tblInd w:w="426" w:type="dxa"/>
        <w:tblLook w:val="04A0" w:firstRow="1" w:lastRow="0" w:firstColumn="1" w:lastColumn="0" w:noHBand="0" w:noVBand="1"/>
      </w:tblPr>
      <w:tblGrid>
        <w:gridCol w:w="820"/>
        <w:gridCol w:w="3900"/>
        <w:gridCol w:w="3060"/>
        <w:gridCol w:w="1300"/>
        <w:gridCol w:w="1268"/>
        <w:gridCol w:w="2268"/>
        <w:gridCol w:w="1582"/>
      </w:tblGrid>
      <w:tr w:rsidR="00F5727F" w:rsidTr="00F5727F">
        <w:trPr>
          <w:trHeight w:val="6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Техническая характеристика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Стоимость за 1 ед. оборудования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Примечание</w:t>
            </w:r>
          </w:p>
        </w:tc>
      </w:tr>
      <w:tr w:rsidR="00F5727F" w:rsidTr="00F5727F">
        <w:trPr>
          <w:trHeight w:val="2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Цена за ед. оборудования, (без НДС), 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НДС,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Цена за единицу оборудования с НДС, руб.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</w:tr>
      <w:tr w:rsidR="00F5727F" w:rsidTr="00F5727F">
        <w:trPr>
          <w:trHeight w:val="464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Подъёмник - кран ПКС 55713-1К-3   на базе КАМАЗ 65115-3968-А</w:t>
            </w:r>
            <w:proofErr w:type="gramStart"/>
            <w:r>
              <w:rPr>
                <w:rFonts w:ascii="Times New Roman" w:hAnsi="Times New Roman"/>
                <w:lang w:eastAsia="en-US"/>
              </w:rPr>
              <w:t>4  зав.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№ 008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Грузоподъёмность 25т, высота подъёма 29,2м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5727F" w:rsidRDefault="00F5727F">
            <w:pPr>
              <w:spacing w:line="276" w:lineRule="auto"/>
              <w:jc w:val="center"/>
              <w:rPr>
                <w:rFonts w:ascii="Arial CYR" w:hAnsi="Arial CYR" w:cs="Arial CYR"/>
                <w:lang w:eastAsia="en-US"/>
              </w:rPr>
            </w:pPr>
            <w:r>
              <w:rPr>
                <w:rFonts w:ascii="Arial CYR" w:hAnsi="Arial CYR" w:cs="Arial CYR"/>
                <w:lang w:eastAsia="en-US"/>
              </w:rPr>
              <w:t> </w:t>
            </w:r>
          </w:p>
        </w:tc>
      </w:tr>
      <w:tr w:rsidR="00F5727F" w:rsidTr="00F5727F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Arial CYR" w:hAnsi="Arial CYR" w:cs="Arial CYR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Arial CYR" w:hAnsi="Arial CYR" w:cs="Arial CYR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Arial CYR" w:hAnsi="Arial CYR" w:cs="Arial CYR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7F" w:rsidRDefault="00F5727F">
            <w:pPr>
              <w:spacing w:line="276" w:lineRule="auto"/>
              <w:rPr>
                <w:rFonts w:ascii="Arial CYR" w:hAnsi="Arial CYR" w:cs="Arial CYR"/>
                <w:lang w:eastAsia="en-US"/>
              </w:rPr>
            </w:pPr>
          </w:p>
        </w:tc>
      </w:tr>
    </w:tbl>
    <w:p w:rsidR="00F5727F" w:rsidRDefault="00F5727F" w:rsidP="00F572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727F" w:rsidRDefault="00F5727F" w:rsidP="00F5727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3A7461" w:rsidRPr="003A7461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(ФИО)</w:t>
      </w:r>
    </w:p>
    <w:sectPr w:rsidR="003A7461" w:rsidRPr="003A7461" w:rsidSect="001C456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62" w:rsidRDefault="00C83862">
      <w:r>
        <w:separator/>
      </w:r>
    </w:p>
  </w:endnote>
  <w:endnote w:type="continuationSeparator" w:id="0">
    <w:p w:rsidR="00C83862" w:rsidRDefault="00C8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62" w:rsidRDefault="00C83862">
      <w:r>
        <w:separator/>
      </w:r>
    </w:p>
  </w:footnote>
  <w:footnote w:type="continuationSeparator" w:id="0">
    <w:p w:rsidR="00C83862" w:rsidRDefault="00C8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62" w:rsidRPr="002E5756" w:rsidRDefault="00C83862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A67C7"/>
    <w:multiLevelType w:val="hybridMultilevel"/>
    <w:tmpl w:val="11AAF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173CF8"/>
    <w:multiLevelType w:val="hybridMultilevel"/>
    <w:tmpl w:val="70667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6"/>
  </w:num>
  <w:num w:numId="20">
    <w:abstractNumId w:val="0"/>
  </w:num>
  <w:num w:numId="21">
    <w:abstractNumId w:val="28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  <w:num w:numId="29">
    <w:abstractNumId w:val="27"/>
  </w:num>
  <w:num w:numId="30">
    <w:abstractNumId w:val="27"/>
  </w:num>
  <w:num w:numId="31">
    <w:abstractNumId w:val="2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0A93"/>
    <w:rsid w:val="00AD4F04"/>
    <w:rsid w:val="00AE0273"/>
    <w:rsid w:val="00AF0F19"/>
    <w:rsid w:val="00AF7788"/>
    <w:rsid w:val="00B00F4A"/>
    <w:rsid w:val="00B15D68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3862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5727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aliases w:val="Titolo 21,titre,Titolo 21 + Non Grassetto,Sottolineato,Non Tutto maiuscole,...,Titolo 2 Carattere3,Titolo 2 Carattere1 Carattere1,Titolo 2 Carattere3 Carattere Carattere,Titolo 2 Carattere1,Titolo 2 Carattere3 Carattere,Heading 21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aliases w:val="Titolo 21 Знак,titre Знак,Titolo 21 + Non Grassetto Знак,Sottolineato Знак,Non Tutto maiuscole Знак,... Знак,Titolo 2 Carattere3 Знак,Titolo 2 Carattere1 Carattere1 Знак,Titolo 2 Carattere3 Carattere Carattere Знак,Heading 21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character" w:customStyle="1" w:styleId="21">
    <w:name w:val="Заголовок 2 Знак1"/>
    <w:aliases w:val="Titolo 21 Знак1,titre Знак1,Titolo 21 + Non Grassetto Знак1,Sottolineato Знак1,Non Tutto maiuscole Знак1,... Знак1,Titolo 2 Carattere3 Знак1,Titolo 2 Carattere1 Carattere1 Знак1,Titolo 2 Carattere3 Carattere Carattere Знак1"/>
    <w:basedOn w:val="a0"/>
    <w:semiHidden/>
    <w:rsid w:val="00F572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annotation text"/>
    <w:basedOn w:val="a"/>
    <w:link w:val="af1"/>
    <w:uiPriority w:val="99"/>
    <w:semiHidden/>
    <w:unhideWhenUsed/>
    <w:rsid w:val="00F5727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727F"/>
    <w:rPr>
      <w:sz w:val="20"/>
      <w:szCs w:val="20"/>
    </w:rPr>
  </w:style>
  <w:style w:type="paragraph" w:styleId="af2">
    <w:name w:val="Body Text"/>
    <w:basedOn w:val="a"/>
    <w:link w:val="af3"/>
    <w:uiPriority w:val="99"/>
    <w:semiHidden/>
    <w:unhideWhenUsed/>
    <w:rsid w:val="00F5727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5727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4">
    <w:name w:val="Subtitle"/>
    <w:basedOn w:val="a"/>
    <w:link w:val="af5"/>
    <w:uiPriority w:val="99"/>
    <w:qFormat/>
    <w:rsid w:val="00F5727F"/>
    <w:pPr>
      <w:jc w:val="both"/>
    </w:pPr>
    <w:rPr>
      <w:rFonts w:ascii="Times New Roman" w:hAnsi="Times New Roman"/>
      <w:sz w:val="24"/>
    </w:rPr>
  </w:style>
  <w:style w:type="character" w:customStyle="1" w:styleId="af5">
    <w:name w:val="Подзаголовок Знак"/>
    <w:basedOn w:val="a0"/>
    <w:link w:val="af4"/>
    <w:uiPriority w:val="99"/>
    <w:rsid w:val="00F572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semiHidden/>
    <w:unhideWhenUsed/>
    <w:rsid w:val="00F5727F"/>
    <w:pPr>
      <w:ind w:left="567" w:hanging="567"/>
      <w:jc w:val="both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F572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annotation subject"/>
    <w:basedOn w:val="af0"/>
    <w:next w:val="af0"/>
    <w:link w:val="af7"/>
    <w:uiPriority w:val="99"/>
    <w:semiHidden/>
    <w:unhideWhenUsed/>
    <w:rsid w:val="00F5727F"/>
    <w:rPr>
      <w:b/>
      <w:bCs/>
    </w:rPr>
  </w:style>
  <w:style w:type="character" w:customStyle="1" w:styleId="af7">
    <w:name w:val="Тема примечания Знак"/>
    <w:basedOn w:val="af1"/>
    <w:link w:val="af6"/>
    <w:uiPriority w:val="99"/>
    <w:semiHidden/>
    <w:rsid w:val="00F5727F"/>
    <w:rPr>
      <w:b/>
      <w:bCs/>
      <w:sz w:val="20"/>
      <w:szCs w:val="20"/>
    </w:rPr>
  </w:style>
  <w:style w:type="paragraph" w:customStyle="1" w:styleId="Normal">
    <w:name w:val="Normal Знак Знак"/>
    <w:uiPriority w:val="99"/>
    <w:rsid w:val="00F5727F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8">
    <w:name w:val="Знак"/>
    <w:basedOn w:val="a"/>
    <w:autoRedefine/>
    <w:rsid w:val="00F5727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just1">
    <w:name w:val="just1"/>
    <w:basedOn w:val="a"/>
    <w:rsid w:val="00F5727F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57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72">
    <w:name w:val="xl72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3">
    <w:name w:val="xl73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74">
    <w:name w:val="xl74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75">
    <w:name w:val="xl75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i/>
      <w:iCs/>
      <w:sz w:val="16"/>
      <w:szCs w:val="16"/>
    </w:rPr>
  </w:style>
  <w:style w:type="paragraph" w:customStyle="1" w:styleId="xl76">
    <w:name w:val="xl76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</w:rPr>
  </w:style>
  <w:style w:type="paragraph" w:customStyle="1" w:styleId="xl77">
    <w:name w:val="xl77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0">
    <w:name w:val="xl80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1">
    <w:name w:val="xl81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2">
    <w:name w:val="xl82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3">
    <w:name w:val="xl83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4">
    <w:name w:val="xl84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5">
    <w:name w:val="xl85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6">
    <w:name w:val="xl86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7">
    <w:name w:val="xl87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8">
    <w:name w:val="xl88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1">
    <w:name w:val="xl91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2">
    <w:name w:val="xl92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6">
    <w:name w:val="xl96"/>
    <w:basedOn w:val="a"/>
    <w:rsid w:val="00F5727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7">
    <w:name w:val="xl97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8">
    <w:name w:val="xl98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0">
    <w:name w:val="xl100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1">
    <w:name w:val="xl101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2">
    <w:name w:val="xl102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3">
    <w:name w:val="xl103"/>
    <w:basedOn w:val="a"/>
    <w:rsid w:val="00F5727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4">
    <w:name w:val="xl104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5">
    <w:name w:val="xl105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6">
    <w:name w:val="xl106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7">
    <w:name w:val="xl107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8">
    <w:name w:val="xl108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9">
    <w:name w:val="xl109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0">
    <w:name w:val="xl110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1">
    <w:name w:val="xl111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2">
    <w:name w:val="xl112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3">
    <w:name w:val="xl113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4">
    <w:name w:val="xl114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5">
    <w:name w:val="xl115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6">
    <w:name w:val="xl116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7">
    <w:name w:val="xl117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8">
    <w:name w:val="xl118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0">
    <w:name w:val="xl120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 w:cs="Times"/>
      <w:i/>
      <w:iCs/>
      <w:sz w:val="16"/>
      <w:szCs w:val="16"/>
    </w:rPr>
  </w:style>
  <w:style w:type="paragraph" w:customStyle="1" w:styleId="xl122">
    <w:name w:val="xl122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 w:cs="Times"/>
      <w:sz w:val="16"/>
      <w:szCs w:val="16"/>
    </w:rPr>
  </w:style>
  <w:style w:type="paragraph" w:customStyle="1" w:styleId="xl123">
    <w:name w:val="xl123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4">
    <w:name w:val="xl124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5">
    <w:name w:val="xl125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6">
    <w:name w:val="xl126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7">
    <w:name w:val="xl127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28">
    <w:name w:val="xl128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29">
    <w:name w:val="xl129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30">
    <w:name w:val="xl130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1">
    <w:name w:val="xl131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2">
    <w:name w:val="xl132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3">
    <w:name w:val="xl133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4">
    <w:name w:val="xl134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5">
    <w:name w:val="xl135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36">
    <w:name w:val="xl136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37">
    <w:name w:val="xl137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8">
    <w:name w:val="xl138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9">
    <w:name w:val="xl139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40">
    <w:name w:val="xl140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1">
    <w:name w:val="xl141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2">
    <w:name w:val="xl142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3">
    <w:name w:val="xl143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4">
    <w:name w:val="xl144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5">
    <w:name w:val="xl145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6">
    <w:name w:val="xl146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7">
    <w:name w:val="xl147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8">
    <w:name w:val="xl148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9">
    <w:name w:val="xl149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0">
    <w:name w:val="xl150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1">
    <w:name w:val="xl151"/>
    <w:basedOn w:val="a"/>
    <w:rsid w:val="00F572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2">
    <w:name w:val="xl152"/>
    <w:basedOn w:val="a"/>
    <w:rsid w:val="00F5727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3">
    <w:name w:val="xl153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54">
    <w:name w:val="xl154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55">
    <w:name w:val="xl155"/>
    <w:basedOn w:val="a"/>
    <w:rsid w:val="00F5727F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6">
    <w:name w:val="xl156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8">
    <w:name w:val="xl158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9">
    <w:name w:val="xl159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0">
    <w:name w:val="xl160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1">
    <w:name w:val="xl161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3">
    <w:name w:val="xl163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65">
    <w:name w:val="xl165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6">
    <w:name w:val="xl166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67">
    <w:name w:val="xl167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68">
    <w:name w:val="xl168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9">
    <w:name w:val="xl169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0">
    <w:name w:val="xl170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1">
    <w:name w:val="xl171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172">
    <w:name w:val="xl172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3">
    <w:name w:val="xl173"/>
    <w:basedOn w:val="a"/>
    <w:rsid w:val="00F572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rsid w:val="00F572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rsid w:val="00F572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6">
    <w:name w:val="xl176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7">
    <w:name w:val="xl177"/>
    <w:basedOn w:val="a"/>
    <w:rsid w:val="00F572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8">
    <w:name w:val="xl178"/>
    <w:basedOn w:val="a"/>
    <w:rsid w:val="00F572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9">
    <w:name w:val="xl179"/>
    <w:basedOn w:val="a"/>
    <w:rsid w:val="00F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character" w:styleId="af9">
    <w:name w:val="annotation reference"/>
    <w:basedOn w:val="a0"/>
    <w:uiPriority w:val="99"/>
    <w:semiHidden/>
    <w:unhideWhenUsed/>
    <w:rsid w:val="00F5727F"/>
    <w:rPr>
      <w:sz w:val="16"/>
      <w:szCs w:val="16"/>
    </w:rPr>
  </w:style>
  <w:style w:type="character" w:customStyle="1" w:styleId="FontStyle12">
    <w:name w:val="Font Style12"/>
    <w:uiPriority w:val="99"/>
    <w:rsid w:val="00F5727F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1D93-4F11-4E4A-9E9D-FC93E2E3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10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10</cp:revision>
  <cp:lastPrinted>2019-11-26T10:41:00Z</cp:lastPrinted>
  <dcterms:created xsi:type="dcterms:W3CDTF">2022-01-17T11:36:00Z</dcterms:created>
  <dcterms:modified xsi:type="dcterms:W3CDTF">2023-03-03T11:43:00Z</dcterms:modified>
</cp:coreProperties>
</file>