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w:t>
      </w:r>
      <w:r w:rsidR="00D370F6">
        <w:rPr>
          <w:rFonts w:ascii="Times New Roman" w:eastAsia="Times New Roman" w:hAnsi="Times New Roman" w:cs="Times New Roman"/>
          <w:sz w:val="22"/>
          <w:szCs w:val="22"/>
        </w:rPr>
        <w:t>определены</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D370F6">
        <w:rPr>
          <w:rFonts w:ascii="Times New Roman" w:eastAsia="Times New Roman" w:hAnsi="Times New Roman" w:cs="Times New Roman"/>
          <w:sz w:val="22"/>
          <w:szCs w:val="22"/>
        </w:rPr>
        <w:t>Задании на проектирование</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w:t>
      </w:r>
      <w:bookmarkStart w:id="0" w:name="_GoBack"/>
      <w:bookmarkEnd w:id="0"/>
      <w:r w:rsidRPr="000045D5">
        <w:rPr>
          <w:rFonts w:ascii="Times New Roman" w:eastAsia="Times New Roman" w:hAnsi="Times New Roman" w:cs="Times New Roman"/>
          <w:sz w:val="22"/>
          <w:szCs w:val="22"/>
        </w:rPr>
        <w:t>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14.02-2021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0045D5">
        <w:rPr>
          <w:rFonts w:ascii="Times New Roman" w:hAnsi="Times New Roman" w:cs="Times New Roman"/>
          <w:sz w:val="22"/>
          <w:szCs w:val="22"/>
        </w:rPr>
        <w:t>психо</w:t>
      </w:r>
      <w:proofErr w:type="spellEnd"/>
      <w:r w:rsidRPr="000045D5">
        <w:rPr>
          <w:rFonts w:ascii="Times New Roman" w:hAnsi="Times New Roman" w:cs="Times New Roman"/>
          <w:sz w:val="22"/>
          <w:szCs w:val="22"/>
        </w:rPr>
        <w:t xml:space="preserve">-, </w:t>
      </w:r>
      <w:proofErr w:type="spellStart"/>
      <w:r w:rsidRPr="000045D5">
        <w:rPr>
          <w:rFonts w:ascii="Times New Roman" w:hAnsi="Times New Roman" w:cs="Times New Roman"/>
          <w:sz w:val="22"/>
          <w:szCs w:val="22"/>
        </w:rPr>
        <w:t>нарко</w:t>
      </w:r>
      <w:proofErr w:type="spellEnd"/>
      <w:r w:rsidRPr="000045D5">
        <w:rPr>
          <w:rFonts w:ascii="Times New Roman" w:hAnsi="Times New Roman" w:cs="Times New Roman"/>
          <w:sz w:val="22"/>
          <w:szCs w:val="22"/>
        </w:rPr>
        <w:t>- учет.</w:t>
      </w:r>
    </w:p>
    <w:p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 xml:space="preserve">осу Исполнителя предоставить последнему имеющиеся в распоряжении Заказчика и </w:t>
      </w:r>
      <w:r w:rsidR="00D96505" w:rsidRPr="000045D5">
        <w:rPr>
          <w:rFonts w:ascii="Times New Roman" w:eastAsia="Times New Roman" w:hAnsi="Times New Roman" w:cs="Times New Roman"/>
          <w:sz w:val="22"/>
          <w:szCs w:val="22"/>
        </w:rPr>
        <w:lastRenderedPageBreak/>
        <w:t>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1" w:name="_gjdgxs" w:colFirst="0" w:colLast="0"/>
      <w:bookmarkEnd w:id="1"/>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lastRenderedPageBreak/>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D1454A">
        <w:rPr>
          <w:rFonts w:ascii="Times New Roman" w:eastAsia="Times New Roman" w:hAnsi="Times New Roman" w:cs="Times New Roman"/>
          <w:bCs/>
          <w:color w:val="auto"/>
          <w:sz w:val="22"/>
          <w:szCs w:val="22"/>
        </w:rPr>
        <w:t>т.д</w:t>
      </w:r>
      <w:proofErr w:type="spellEnd"/>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proofErr w:type="gramStart"/>
      <w:r w:rsidRPr="00D1454A">
        <w:rPr>
          <w:rFonts w:ascii="Times New Roman" w:eastAsia="Times New Roman" w:hAnsi="Times New Roman" w:cs="Times New Roman"/>
          <w:bCs/>
          <w:color w:val="auto"/>
          <w:sz w:val="22"/>
          <w:szCs w:val="22"/>
        </w:rPr>
        <w:t>актов  для</w:t>
      </w:r>
      <w:proofErr w:type="gramEnd"/>
      <w:r w:rsidRPr="00D1454A">
        <w:rPr>
          <w:rFonts w:ascii="Times New Roman" w:eastAsia="Times New Roman" w:hAnsi="Times New Roman" w:cs="Times New Roman"/>
          <w:bCs/>
          <w:color w:val="auto"/>
          <w:sz w:val="22"/>
          <w:szCs w:val="22"/>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принимать для обязательного исполнения предписания Управления по промышленной </w:t>
      </w:r>
      <w:r w:rsidRPr="00DB7210">
        <w:rPr>
          <w:rFonts w:ascii="Times New Roman" w:eastAsia="Times New Roman" w:hAnsi="Times New Roman" w:cs="Times New Roman"/>
          <w:bCs/>
          <w:color w:val="auto"/>
          <w:sz w:val="22"/>
          <w:szCs w:val="22"/>
        </w:rPr>
        <w:lastRenderedPageBreak/>
        <w:t>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F064EC" w:rsidRPr="00462BE9">
          <w:rPr>
            <w:rStyle w:val="ac"/>
            <w:rFonts w:ascii="Times New Roman" w:hAnsi="Times New Roman" w:cs="Times New Roman"/>
            <w:sz w:val="22"/>
            <w:szCs w:val="22"/>
          </w:rPr>
          <w:t>hotline@tnpz.rusinvest.ru</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9.8. В случае нарушения Исполнителем (Соисполнителем) требований П 14.02-2021 «Положение об </w:t>
      </w:r>
      <w:r w:rsidRPr="000045D5">
        <w:rPr>
          <w:rFonts w:ascii="Times New Roman" w:eastAsia="Times New Roman" w:hAnsi="Times New Roman" w:cs="Times New Roman"/>
          <w:sz w:val="22"/>
          <w:szCs w:val="22"/>
        </w:rPr>
        <w:lastRenderedPageBreak/>
        <w:t xml:space="preserve">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w:t>
      </w:r>
      <w:r w:rsidRPr="000045D5">
        <w:rPr>
          <w:rFonts w:ascii="Times New Roman" w:hAnsi="Times New Roman" w:cs="Times New Roman"/>
          <w:bCs/>
          <w:sz w:val="22"/>
          <w:szCs w:val="22"/>
          <w:lang w:eastAsia="x-none"/>
        </w:rPr>
        <w:lastRenderedPageBreak/>
        <w:t>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4969"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 xml:space="preserve">115035, г. Москва, вн.тер.г. Муниципальный Округ Замоскворечье, </w:t>
            </w:r>
            <w:proofErr w:type="spellStart"/>
            <w:r w:rsidRPr="00B20F8E">
              <w:rPr>
                <w:rFonts w:ascii="Times New Roman" w:hAnsi="Times New Roman" w:cs="Times New Roman"/>
              </w:rPr>
              <w:t>ул</w:t>
            </w:r>
            <w:proofErr w:type="spellEnd"/>
            <w:r w:rsidRPr="00B20F8E">
              <w:rPr>
                <w:rFonts w:ascii="Times New Roman" w:hAnsi="Times New Roman" w:cs="Times New Roman"/>
              </w:rPr>
              <w:t xml:space="preserve"> Садовническая, д. 12, этаж/офис 2/16</w:t>
            </w:r>
          </w:p>
          <w:p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Default="0086393A" w:rsidP="00D1593E">
      <w:pPr>
        <w:widowControl/>
        <w:spacing w:line="264" w:lineRule="auto"/>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ЗАДАНИЕ НА ПРОЕКТИРОВАНИЕ</w:t>
      </w:r>
    </w:p>
    <w:p w:rsidR="0086393A" w:rsidRP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r w:rsidRPr="0086393A">
        <w:rPr>
          <w:rFonts w:ascii="Times New Roman" w:eastAsiaTheme="minorHAnsi" w:hAnsi="Times New Roman" w:cs="Times New Roman"/>
          <w:b/>
          <w:color w:val="auto"/>
          <w:sz w:val="22"/>
          <w:szCs w:val="22"/>
          <w:lang w:eastAsia="en-US"/>
        </w:rPr>
        <w:t xml:space="preserve">«Узел приема и хранения присадок с организацией площадки хранения сыпучих материалов </w:t>
      </w: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r w:rsidRPr="0086393A">
        <w:rPr>
          <w:rFonts w:ascii="Times New Roman" w:eastAsiaTheme="minorHAnsi" w:hAnsi="Times New Roman" w:cs="Times New Roman"/>
          <w:b/>
          <w:color w:val="auto"/>
          <w:sz w:val="22"/>
          <w:szCs w:val="22"/>
          <w:lang w:eastAsia="en-US"/>
        </w:rPr>
        <w:t>филиала ООО «РУСИНВЕСТ» - «ТНПЗ»</w:t>
      </w: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86393A" w:rsidRPr="00983C52" w:rsidRDefault="0086393A" w:rsidP="0086393A">
      <w:pPr>
        <w:widowControl/>
        <w:spacing w:line="264" w:lineRule="auto"/>
        <w:jc w:val="center"/>
        <w:rPr>
          <w:rFonts w:ascii="Times New Roman" w:eastAsiaTheme="minorHAnsi" w:hAnsi="Times New Roman" w:cs="Times New Roman"/>
          <w:b/>
          <w:color w:val="auto"/>
          <w:sz w:val="22"/>
          <w:szCs w:val="22"/>
          <w:lang w:eastAsia="en-US"/>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E592E">
      <w:pPr>
        <w:rPr>
          <w:rFonts w:ascii="Times New Roman" w:hAnsi="Times New Roman" w:cs="Times New Roman"/>
          <w:sz w:val="22"/>
          <w:szCs w:val="22"/>
        </w:rPr>
      </w:pPr>
    </w:p>
    <w:sectPr w:rsidR="009456AE"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849" w:rsidRDefault="00972849">
      <w:r>
        <w:separator/>
      </w:r>
    </w:p>
  </w:endnote>
  <w:endnote w:type="continuationSeparator" w:id="0">
    <w:p w:rsidR="00972849" w:rsidRDefault="0097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D370F6">
      <w:rPr>
        <w:rFonts w:ascii="Times New Roman" w:hAnsi="Times New Roman" w:cs="Times New Roman"/>
        <w:noProof/>
        <w:sz w:val="20"/>
        <w:szCs w:val="20"/>
      </w:rPr>
      <w:t>14</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849" w:rsidRDefault="00972849">
      <w:r>
        <w:separator/>
      </w:r>
    </w:p>
  </w:footnote>
  <w:footnote w:type="continuationSeparator" w:id="0">
    <w:p w:rsidR="00972849" w:rsidRDefault="00972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Default="00532895">
    <w:pPr>
      <w:tabs>
        <w:tab w:val="right" w:pos="9020"/>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1"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2"/>
  </w:num>
  <w:num w:numId="5">
    <w:abstractNumId w:val="10"/>
  </w:num>
  <w:num w:numId="6">
    <w:abstractNumId w:val="15"/>
  </w:num>
  <w:num w:numId="7">
    <w:abstractNumId w:val="11"/>
  </w:num>
  <w:num w:numId="8">
    <w:abstractNumId w:val="4"/>
  </w:num>
  <w:num w:numId="9">
    <w:abstractNumId w:val="13"/>
  </w:num>
  <w:num w:numId="10">
    <w:abstractNumId w:val="6"/>
  </w:num>
  <w:num w:numId="11">
    <w:abstractNumId w:val="9"/>
  </w:num>
  <w:num w:numId="12">
    <w:abstractNumId w:val="14"/>
  </w:num>
  <w:num w:numId="13">
    <w:abstractNumId w:val="18"/>
  </w:num>
  <w:num w:numId="14">
    <w:abstractNumId w:val="21"/>
  </w:num>
  <w:num w:numId="15">
    <w:abstractNumId w:val="0"/>
  </w:num>
  <w:num w:numId="16">
    <w:abstractNumId w:val="5"/>
  </w:num>
  <w:num w:numId="17">
    <w:abstractNumId w:val="17"/>
  </w:num>
  <w:num w:numId="18">
    <w:abstractNumId w:val="3"/>
  </w:num>
  <w:num w:numId="19">
    <w:abstractNumId w:val="12"/>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B1CAB"/>
    <w:rsid w:val="001D4D26"/>
    <w:rsid w:val="00212CD2"/>
    <w:rsid w:val="00236AFB"/>
    <w:rsid w:val="002622B4"/>
    <w:rsid w:val="0027670D"/>
    <w:rsid w:val="002B231E"/>
    <w:rsid w:val="002B2997"/>
    <w:rsid w:val="002E592E"/>
    <w:rsid w:val="00315315"/>
    <w:rsid w:val="00327E84"/>
    <w:rsid w:val="003467F7"/>
    <w:rsid w:val="00372817"/>
    <w:rsid w:val="00391BD9"/>
    <w:rsid w:val="003A7F8F"/>
    <w:rsid w:val="003B03E7"/>
    <w:rsid w:val="003E775D"/>
    <w:rsid w:val="003F4890"/>
    <w:rsid w:val="004075F9"/>
    <w:rsid w:val="00426838"/>
    <w:rsid w:val="00470FA0"/>
    <w:rsid w:val="00472C03"/>
    <w:rsid w:val="00493CFB"/>
    <w:rsid w:val="004B4DE7"/>
    <w:rsid w:val="004F37F2"/>
    <w:rsid w:val="0051553F"/>
    <w:rsid w:val="005214AF"/>
    <w:rsid w:val="00524B74"/>
    <w:rsid w:val="00532895"/>
    <w:rsid w:val="0053757A"/>
    <w:rsid w:val="005D6A3B"/>
    <w:rsid w:val="00685AD8"/>
    <w:rsid w:val="006902EC"/>
    <w:rsid w:val="00693F55"/>
    <w:rsid w:val="0069515D"/>
    <w:rsid w:val="006A21B3"/>
    <w:rsid w:val="006E55AE"/>
    <w:rsid w:val="006F424B"/>
    <w:rsid w:val="007120AA"/>
    <w:rsid w:val="00740A21"/>
    <w:rsid w:val="0077381D"/>
    <w:rsid w:val="00795EE4"/>
    <w:rsid w:val="0086393A"/>
    <w:rsid w:val="008A0F5B"/>
    <w:rsid w:val="008D4241"/>
    <w:rsid w:val="008F4041"/>
    <w:rsid w:val="009317D4"/>
    <w:rsid w:val="00945564"/>
    <w:rsid w:val="009456AE"/>
    <w:rsid w:val="00945EC4"/>
    <w:rsid w:val="00972849"/>
    <w:rsid w:val="00983C52"/>
    <w:rsid w:val="0098786B"/>
    <w:rsid w:val="009936CC"/>
    <w:rsid w:val="009C176B"/>
    <w:rsid w:val="009C4F8B"/>
    <w:rsid w:val="009E21F9"/>
    <w:rsid w:val="009F1F5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A3634"/>
    <w:rsid w:val="00BD575C"/>
    <w:rsid w:val="00C021B4"/>
    <w:rsid w:val="00C3339A"/>
    <w:rsid w:val="00C4434C"/>
    <w:rsid w:val="00C73F8D"/>
    <w:rsid w:val="00C96667"/>
    <w:rsid w:val="00CA50A5"/>
    <w:rsid w:val="00CF7FDB"/>
    <w:rsid w:val="00D01F11"/>
    <w:rsid w:val="00D1454A"/>
    <w:rsid w:val="00D14984"/>
    <w:rsid w:val="00D1593E"/>
    <w:rsid w:val="00D160AD"/>
    <w:rsid w:val="00D370F6"/>
    <w:rsid w:val="00D86455"/>
    <w:rsid w:val="00D96505"/>
    <w:rsid w:val="00DA6002"/>
    <w:rsid w:val="00DB7210"/>
    <w:rsid w:val="00DC4795"/>
    <w:rsid w:val="00DC5669"/>
    <w:rsid w:val="00DD19D2"/>
    <w:rsid w:val="00E05270"/>
    <w:rsid w:val="00E245C5"/>
    <w:rsid w:val="00E37F2B"/>
    <w:rsid w:val="00E74BB3"/>
    <w:rsid w:val="00E90858"/>
    <w:rsid w:val="00E97F89"/>
    <w:rsid w:val="00EA0FD8"/>
    <w:rsid w:val="00EA3357"/>
    <w:rsid w:val="00EB0C3E"/>
    <w:rsid w:val="00EC14B9"/>
    <w:rsid w:val="00F02346"/>
    <w:rsid w:val="00F064EC"/>
    <w:rsid w:val="00F2353A"/>
    <w:rsid w:val="00F41510"/>
    <w:rsid w:val="00F53EF2"/>
    <w:rsid w:val="00F81222"/>
    <w:rsid w:val="00FA2E6E"/>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8246</Words>
  <Characters>47003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Ткаченко Дмитрий Владимирович</cp:lastModifiedBy>
  <cp:revision>8</cp:revision>
  <cp:lastPrinted>2022-02-07T04:19:00Z</cp:lastPrinted>
  <dcterms:created xsi:type="dcterms:W3CDTF">2023-09-05T03:12:00Z</dcterms:created>
  <dcterms:modified xsi:type="dcterms:W3CDTF">2024-02-13T10:12:00Z</dcterms:modified>
</cp:coreProperties>
</file>