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F1ABCFC"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AA17F9">
        <w:rPr>
          <w:bCs/>
          <w:sz w:val="21"/>
          <w:szCs w:val="21"/>
        </w:rPr>
        <w:t xml:space="preserve"> </w:t>
      </w:r>
      <w:proofErr w:type="gramStart"/>
      <w:r w:rsidR="00AA17F9">
        <w:rPr>
          <w:bCs/>
          <w:sz w:val="21"/>
          <w:szCs w:val="21"/>
        </w:rPr>
        <w:t xml:space="preserve">   «</w:t>
      </w:r>
      <w:proofErr w:type="gramEnd"/>
      <w:r w:rsidR="00AA17F9">
        <w:rPr>
          <w:bCs/>
          <w:sz w:val="21"/>
          <w:szCs w:val="21"/>
        </w:rPr>
        <w:t>___»  _____________ 2025</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33D3D70C" w:rsidR="005A58B5" w:rsidRPr="000F7504" w:rsidRDefault="006875BB" w:rsidP="000F7504">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D93DF3">
        <w:rPr>
          <w:sz w:val="21"/>
          <w:szCs w:val="21"/>
        </w:rPr>
        <w:t xml:space="preserve"> по реализации проекта </w:t>
      </w:r>
      <w:r w:rsidR="00B46F8B" w:rsidRPr="00B46F8B">
        <w:rPr>
          <w:rFonts w:eastAsia="Calibri"/>
        </w:rPr>
        <w:t xml:space="preserve">«Модернизация площадок обслуживания компрессорных агрегатов 204К-101, </w:t>
      </w:r>
      <w:r w:rsidR="00B46F8B">
        <w:rPr>
          <w:rFonts w:eastAsia="Calibri"/>
        </w:rPr>
        <w:t>204К102А/В, 204К-301»</w:t>
      </w:r>
      <w:r w:rsidR="00B46F8B" w:rsidRPr="00B46F8B">
        <w:rPr>
          <w:rFonts w:eastAsia="Calibri"/>
        </w:rPr>
        <w:t xml:space="preserve"> </w:t>
      </w:r>
      <w:r w:rsidR="00B46F8B" w:rsidRPr="000F7504">
        <w:rPr>
          <w:sz w:val="21"/>
          <w:szCs w:val="21"/>
        </w:rPr>
        <w:t>шифр</w:t>
      </w:r>
      <w:r w:rsidR="000F7504" w:rsidRPr="000F7504">
        <w:rPr>
          <w:sz w:val="21"/>
          <w:szCs w:val="21"/>
        </w:rPr>
        <w:t xml:space="preserve"> проекта</w:t>
      </w:r>
      <w:r w:rsidR="00B46F8B">
        <w:rPr>
          <w:sz w:val="21"/>
          <w:szCs w:val="21"/>
        </w:rPr>
        <w:t xml:space="preserve"> </w:t>
      </w:r>
      <w:r w:rsidR="00B46F8B" w:rsidRPr="00B46F8B">
        <w:rPr>
          <w:rFonts w:eastAsia="Calibri"/>
        </w:rPr>
        <w:t>2024-002-204-01-АС</w:t>
      </w:r>
      <w:r w:rsidR="000F7504" w:rsidRPr="000F7504">
        <w:rPr>
          <w:sz w:val="21"/>
          <w:szCs w:val="21"/>
        </w:rPr>
        <w:t xml:space="preserve"> </w:t>
      </w:r>
      <w:r w:rsidR="00E56A55" w:rsidRPr="000F7504">
        <w:rPr>
          <w:sz w:val="21"/>
          <w:szCs w:val="21"/>
        </w:rPr>
        <w:t>в соответствии</w:t>
      </w:r>
      <w:r w:rsidR="00AA17F9">
        <w:rPr>
          <w:sz w:val="21"/>
          <w:szCs w:val="21"/>
        </w:rPr>
        <w:t xml:space="preserve"> с </w:t>
      </w:r>
      <w:r w:rsidR="00E56A55" w:rsidRPr="000F7504">
        <w:rPr>
          <w:sz w:val="21"/>
          <w:szCs w:val="21"/>
        </w:rPr>
        <w:t>положениям</w:t>
      </w:r>
      <w:r w:rsidR="002A7AB8" w:rsidRPr="000F7504">
        <w:rPr>
          <w:sz w:val="21"/>
          <w:szCs w:val="21"/>
        </w:rPr>
        <w:t xml:space="preserve">и настоящего Договора, а Заказчик </w:t>
      </w:r>
      <w:r w:rsidRPr="000F7504">
        <w:rPr>
          <w:sz w:val="21"/>
          <w:szCs w:val="21"/>
        </w:rPr>
        <w:t>обязуется принять и оплатить</w:t>
      </w:r>
      <w:r w:rsidR="00295F62" w:rsidRPr="000F7504">
        <w:rPr>
          <w:sz w:val="21"/>
          <w:szCs w:val="21"/>
        </w:rPr>
        <w:t xml:space="preserve"> надлежащим образом</w:t>
      </w:r>
      <w:r w:rsidRPr="000F7504">
        <w:rPr>
          <w:sz w:val="21"/>
          <w:szCs w:val="21"/>
        </w:rPr>
        <w:t xml:space="preserve"> выполненные Подрядчиком Работы, в порядке и сроки, предусмотренные условиями настоящего Договор</w:t>
      </w:r>
      <w:r w:rsidR="002A7AB8" w:rsidRPr="000F7504">
        <w:rPr>
          <w:sz w:val="21"/>
          <w:szCs w:val="21"/>
        </w:rPr>
        <w:t>а</w:t>
      </w:r>
      <w:r w:rsidR="006E7788" w:rsidRPr="000F7504">
        <w:rPr>
          <w:sz w:val="21"/>
          <w:szCs w:val="21"/>
        </w:rPr>
        <w:t>.</w:t>
      </w:r>
    </w:p>
    <w:p w14:paraId="38505B29" w14:textId="5E5C9F69"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 xml:space="preserve">ован сторонами в </w:t>
      </w:r>
      <w:r w:rsidR="00B46F8B">
        <w:rPr>
          <w:bCs/>
          <w:i/>
          <w:color w:val="0070C0"/>
          <w:sz w:val="21"/>
          <w:szCs w:val="21"/>
        </w:rPr>
        <w:t>Локальном сметном расчете</w:t>
      </w:r>
      <w:r w:rsidR="009B5C7A" w:rsidRPr="00C54CF7">
        <w:rPr>
          <w:bCs/>
          <w:i/>
          <w:color w:val="0070C0"/>
          <w:sz w:val="21"/>
          <w:szCs w:val="21"/>
        </w:rPr>
        <w:t xml:space="preserve"> (Приложения</w:t>
      </w:r>
      <w:r w:rsidR="00C54CF7">
        <w:rPr>
          <w:bCs/>
          <w:i/>
          <w:color w:val="0070C0"/>
          <w:sz w:val="21"/>
          <w:szCs w:val="21"/>
        </w:rPr>
        <w:t xml:space="preserve"> №1</w:t>
      </w:r>
      <w:r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66934BA9"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C54CF7">
        <w:rPr>
          <w:i/>
          <w:color w:val="0070C0"/>
          <w:sz w:val="21"/>
          <w:szCs w:val="21"/>
        </w:rPr>
        <w:t>-сметным</w:t>
      </w:r>
      <w:r w:rsidR="000F7504">
        <w:rPr>
          <w:i/>
          <w:color w:val="0070C0"/>
          <w:sz w:val="21"/>
          <w:szCs w:val="21"/>
        </w:rPr>
        <w:t xml:space="preserve"> </w:t>
      </w:r>
      <w:r w:rsidR="00B46F8B">
        <w:rPr>
          <w:i/>
          <w:color w:val="0070C0"/>
          <w:sz w:val="21"/>
          <w:szCs w:val="21"/>
        </w:rPr>
        <w:t>расчетом</w:t>
      </w:r>
      <w:r w:rsidR="00C54CF7">
        <w:rPr>
          <w:i/>
          <w:color w:val="0070C0"/>
          <w:sz w:val="21"/>
          <w:szCs w:val="21"/>
        </w:rPr>
        <w:t xml:space="preserve"> (Приложение №1</w:t>
      </w:r>
      <w:bookmarkStart w:id="2" w:name="_GoBack"/>
      <w:bookmarkEnd w:id="2"/>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532BC204"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C54CF7">
        <w:rPr>
          <w:rFonts w:ascii="Times New Roman" w:eastAsiaTheme="minorHAnsi" w:hAnsi="Times New Roman" w:cs="Times New Roman"/>
          <w:bCs/>
          <w:i/>
          <w:color w:val="0070C0"/>
          <w:sz w:val="21"/>
          <w:szCs w:val="21"/>
          <w:lang w:eastAsia="en-US"/>
        </w:rPr>
        <w:t>3</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 xml:space="preserve">стоимость расходов на привлечение </w:t>
      </w:r>
      <w:r w:rsidR="00381E7E" w:rsidRPr="00C54CF7">
        <w:rPr>
          <w:sz w:val="21"/>
          <w:szCs w:val="21"/>
        </w:rPr>
        <w:lastRenderedPageBreak/>
        <w:t>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5656589D"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585519">
        <w:rPr>
          <w:rFonts w:ascii="Times New Roman" w:hAnsi="Times New Roman" w:cs="Times New Roman"/>
          <w:sz w:val="21"/>
          <w:szCs w:val="21"/>
        </w:rPr>
        <w:t>чивается Заказчиком 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32A4018C"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C54CF7">
        <w:rPr>
          <w:rFonts w:ascii="Times New Roman" w:hAnsi="Times New Roman" w:cs="Times New Roman"/>
          <w:i/>
          <w:color w:val="0070C0"/>
          <w:sz w:val="21"/>
          <w:szCs w:val="21"/>
        </w:rPr>
        <w:t>3</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w:t>
      </w:r>
      <w:r w:rsidRPr="00483B72">
        <w:rPr>
          <w:rFonts w:ascii="Times New Roman" w:hAnsi="Times New Roman" w:cs="Times New Roman"/>
          <w:color w:val="auto"/>
          <w:sz w:val="21"/>
          <w:szCs w:val="21"/>
        </w:rPr>
        <w:lastRenderedPageBreak/>
        <w:t>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3" w:name="bookmark9"/>
      <w:r w:rsidRPr="00483B72">
        <w:rPr>
          <w:rFonts w:ascii="Times New Roman" w:hAnsi="Times New Roman" w:cs="Times New Roman"/>
          <w:b/>
          <w:sz w:val="21"/>
          <w:szCs w:val="21"/>
        </w:rPr>
        <w:t>СРОКИ ВЫПОЛНЕНИЯ РАБОТ</w:t>
      </w:r>
      <w:bookmarkEnd w:id="3"/>
    </w:p>
    <w:p w14:paraId="64D1A661" w14:textId="6C48B146"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C54CF7">
        <w:rPr>
          <w:i/>
          <w:color w:val="0070C0"/>
          <w:sz w:val="21"/>
          <w:szCs w:val="21"/>
        </w:rPr>
        <w:t xml:space="preserve"> работ (Приложение №2</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4" w:name="bookmark11"/>
      <w:r w:rsidRPr="00483B72">
        <w:rPr>
          <w:b/>
          <w:sz w:val="21"/>
          <w:szCs w:val="21"/>
        </w:rPr>
        <w:t xml:space="preserve">ПРАВА И </w:t>
      </w:r>
      <w:r w:rsidR="00DE762D" w:rsidRPr="00483B72">
        <w:rPr>
          <w:b/>
          <w:sz w:val="21"/>
          <w:szCs w:val="21"/>
        </w:rPr>
        <w:t xml:space="preserve">ОБЯЗАННОСТИ </w:t>
      </w:r>
      <w:bookmarkEnd w:id="4"/>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xml:space="preserve">). В случае изменения перечня лиц, имеющих вышеуказанные полномочия, Подрядчик обязуется незамедлительно сообщить об этом Заказчику </w:t>
      </w:r>
      <w:r w:rsidR="006875BB" w:rsidRPr="00483B72">
        <w:rPr>
          <w:sz w:val="21"/>
          <w:szCs w:val="21"/>
        </w:rPr>
        <w:lastRenderedPageBreak/>
        <w:t>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0AA9086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w:t>
      </w:r>
      <w:r w:rsidRPr="00483B72">
        <w:rPr>
          <w:sz w:val="21"/>
          <w:szCs w:val="21"/>
        </w:rPr>
        <w:lastRenderedPageBreak/>
        <w:t>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5" w:name="bookmark12"/>
      <w:r w:rsidRPr="00483B72">
        <w:rPr>
          <w:b/>
          <w:sz w:val="21"/>
          <w:szCs w:val="21"/>
        </w:rPr>
        <w:t xml:space="preserve">ПРАВА И </w:t>
      </w:r>
      <w:r w:rsidR="004C4BEF" w:rsidRPr="00483B72">
        <w:rPr>
          <w:b/>
          <w:sz w:val="21"/>
          <w:szCs w:val="21"/>
        </w:rPr>
        <w:t xml:space="preserve">ОБЯЗАННОСТИ </w:t>
      </w:r>
      <w:bookmarkEnd w:id="5"/>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lastRenderedPageBreak/>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6" w:name="bookmark13"/>
    </w:p>
    <w:p w14:paraId="01A36AEA" w14:textId="4197DA2E"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6"/>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2A146D75"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C54CF7">
        <w:rPr>
          <w:i/>
          <w:color w:val="0070C0"/>
          <w:sz w:val="21"/>
          <w:szCs w:val="21"/>
        </w:rPr>
        <w:t>3</w:t>
      </w:r>
      <w:r w:rsidRPr="00C54CF7">
        <w:rPr>
          <w:i/>
          <w:color w:val="0070C0"/>
          <w:sz w:val="21"/>
          <w:szCs w:val="21"/>
        </w:rPr>
        <w:t xml:space="preserve"> к Договору).</w:t>
      </w:r>
    </w:p>
    <w:p w14:paraId="50DFD54A" w14:textId="65555D20"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C54CF7">
        <w:rPr>
          <w:i/>
          <w:color w:val="0070C0"/>
          <w:sz w:val="21"/>
          <w:szCs w:val="21"/>
        </w:rPr>
        <w:t>3</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3414566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7"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w:t>
      </w:r>
      <w:r w:rsidRPr="00483B72">
        <w:rPr>
          <w:sz w:val="21"/>
          <w:szCs w:val="21"/>
        </w:rPr>
        <w:lastRenderedPageBreak/>
        <w:t xml:space="preserve">выполнения Подрядчиком выданных Технических условий. </w:t>
      </w:r>
    </w:p>
    <w:p w14:paraId="66949995" w14:textId="03541BE5"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C54CF7">
        <w:rPr>
          <w:i/>
          <w:color w:val="0070C0"/>
          <w:sz w:val="21"/>
          <w:szCs w:val="21"/>
        </w:rPr>
        <w:t>3</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lastRenderedPageBreak/>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Осуществлять расчеты с </w:t>
      </w:r>
      <w:proofErr w:type="spellStart"/>
      <w:r w:rsidRPr="00C54CF7">
        <w:rPr>
          <w:sz w:val="21"/>
          <w:szCs w:val="21"/>
        </w:rPr>
        <w:t>энергоснабжающей</w:t>
      </w:r>
      <w:proofErr w:type="spellEnd"/>
      <w:r w:rsidRPr="00C54CF7">
        <w:rPr>
          <w:sz w:val="21"/>
          <w:szCs w:val="21"/>
        </w:rPr>
        <w:t xml:space="preserve">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35A91B5C"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C54CF7">
        <w:rPr>
          <w:i/>
          <w:color w:val="0070C0"/>
          <w:sz w:val="21"/>
          <w:szCs w:val="21"/>
        </w:rPr>
        <w:t xml:space="preserve"> в Приложении №3</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044A0CF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C54CF7">
        <w:rPr>
          <w:sz w:val="21"/>
          <w:szCs w:val="21"/>
        </w:rPr>
        <w:t>энергопринимающего</w:t>
      </w:r>
      <w:proofErr w:type="spellEnd"/>
      <w:r w:rsidRPr="00C54CF7">
        <w:rPr>
          <w:sz w:val="21"/>
          <w:szCs w:val="21"/>
        </w:rPr>
        <w:t xml:space="preserve"> устройства, утвержденный </w:t>
      </w:r>
      <w:r w:rsidRPr="00C54CF7">
        <w:rPr>
          <w:i/>
          <w:color w:val="0070C0"/>
          <w:sz w:val="21"/>
          <w:szCs w:val="21"/>
        </w:rPr>
        <w:t xml:space="preserve">График использования </w:t>
      </w:r>
      <w:proofErr w:type="spellStart"/>
      <w:r w:rsidRPr="00C54CF7">
        <w:rPr>
          <w:i/>
          <w:color w:val="0070C0"/>
          <w:sz w:val="21"/>
          <w:szCs w:val="21"/>
        </w:rPr>
        <w:t>энергопринимающего</w:t>
      </w:r>
      <w:proofErr w:type="spellEnd"/>
      <w:r w:rsidRPr="00C54CF7">
        <w:rPr>
          <w:i/>
          <w:color w:val="0070C0"/>
          <w:sz w:val="21"/>
          <w:szCs w:val="21"/>
        </w:rPr>
        <w:t xml:space="preserve">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37B4E80C"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7623006"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C54CF7">
        <w:rPr>
          <w:i/>
          <w:color w:val="0070C0"/>
          <w:sz w:val="21"/>
          <w:szCs w:val="21"/>
        </w:rPr>
        <w:t xml:space="preserve"> №3</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65168A56"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w:t>
      </w:r>
      <w:proofErr w:type="spellStart"/>
      <w:r w:rsidRPr="00C54CF7">
        <w:rPr>
          <w:sz w:val="21"/>
          <w:szCs w:val="21"/>
        </w:rPr>
        <w:t>энергоснабжающих</w:t>
      </w:r>
      <w:proofErr w:type="spellEnd"/>
      <w:r w:rsidRPr="00C54CF7">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C54CF7">
        <w:rPr>
          <w:sz w:val="21"/>
          <w:szCs w:val="21"/>
        </w:rPr>
        <w:t>энергоснабжающих</w:t>
      </w:r>
      <w:proofErr w:type="spellEnd"/>
      <w:r w:rsidRPr="00C54CF7">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C54CF7">
        <w:rPr>
          <w:sz w:val="21"/>
          <w:szCs w:val="21"/>
        </w:rPr>
        <w:t>энергоснабжающей</w:t>
      </w:r>
      <w:proofErr w:type="spellEnd"/>
      <w:r w:rsidRPr="00C54CF7">
        <w:rPr>
          <w:sz w:val="21"/>
          <w:szCs w:val="21"/>
        </w:rPr>
        <w:t xml:space="preserve"> организацией.</w:t>
      </w:r>
    </w:p>
    <w:p w14:paraId="1994BC3A" w14:textId="6BD386B8"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w:t>
      </w:r>
      <w:r w:rsidRPr="00C54CF7">
        <w:rPr>
          <w:sz w:val="21"/>
          <w:szCs w:val="21"/>
        </w:rPr>
        <w:lastRenderedPageBreak/>
        <w:t xml:space="preserve">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617494B3"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C54CF7">
        <w:rPr>
          <w:i/>
          <w:color w:val="0070C0"/>
          <w:sz w:val="21"/>
          <w:szCs w:val="21"/>
        </w:rPr>
        <w:t>3</w:t>
      </w:r>
      <w:r w:rsidRPr="00483B72">
        <w:rPr>
          <w:i/>
          <w:color w:val="0070C0"/>
          <w:sz w:val="21"/>
          <w:szCs w:val="21"/>
        </w:rPr>
        <w:t xml:space="preserve"> к настоящему Договору).</w:t>
      </w:r>
    </w:p>
    <w:p w14:paraId="263C5DC8" w14:textId="4ECA8C86"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w:t>
      </w:r>
      <w:proofErr w:type="spellStart"/>
      <w:r w:rsidRPr="00C54CF7">
        <w:rPr>
          <w:sz w:val="21"/>
          <w:szCs w:val="21"/>
        </w:rPr>
        <w:t>энергопринимающего</w:t>
      </w:r>
      <w:proofErr w:type="spellEnd"/>
      <w:r w:rsidRPr="00C54CF7">
        <w:rPr>
          <w:sz w:val="21"/>
          <w:szCs w:val="21"/>
        </w:rPr>
        <w:t xml:space="preserve"> устройства и утвержденного графика использования </w:t>
      </w:r>
      <w:proofErr w:type="spellStart"/>
      <w:r w:rsidRPr="00C54CF7">
        <w:rPr>
          <w:sz w:val="21"/>
          <w:szCs w:val="21"/>
        </w:rPr>
        <w:t>энергопринимающего</w:t>
      </w:r>
      <w:proofErr w:type="spellEnd"/>
      <w:r w:rsidRPr="00C54CF7">
        <w:rPr>
          <w:sz w:val="21"/>
          <w:szCs w:val="21"/>
        </w:rPr>
        <w:t xml:space="preserve">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7"/>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8"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 xml:space="preserve">риказы о назначении ответственных лиц за осуществление производственного контроля, за </w:t>
      </w:r>
      <w:r w:rsidR="00B36931" w:rsidRPr="00483B72">
        <w:rPr>
          <w:sz w:val="21"/>
          <w:szCs w:val="21"/>
        </w:rPr>
        <w:lastRenderedPageBreak/>
        <w:t>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8"/>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9" w:name="bookmark21"/>
      <w:r w:rsidRPr="00483B72">
        <w:rPr>
          <w:b/>
          <w:sz w:val="21"/>
          <w:szCs w:val="21"/>
        </w:rPr>
        <w:t>ПРИВЛЕЧЕНИЕ СУБПОДРЯДЧИКОВ</w:t>
      </w:r>
      <w:bookmarkEnd w:id="9"/>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10"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7"/>
      <w:r w:rsidRPr="00483B72">
        <w:rPr>
          <w:b/>
          <w:sz w:val="21"/>
          <w:szCs w:val="21"/>
        </w:rPr>
        <w:t>СДАЧА-ПРИЕМКА</w:t>
      </w:r>
      <w:bookmarkEnd w:id="11"/>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 xml:space="preserve">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w:t>
      </w:r>
      <w:r w:rsidR="000C0C28" w:rsidRPr="00483B72">
        <w:rPr>
          <w:sz w:val="21"/>
          <w:szCs w:val="21"/>
        </w:rPr>
        <w:lastRenderedPageBreak/>
        <w:t>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53F60BF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C54CF7">
        <w:rPr>
          <w:i/>
          <w:color w:val="0070C0"/>
          <w:sz w:val="21"/>
          <w:szCs w:val="21"/>
        </w:rPr>
        <w:t>3</w:t>
      </w:r>
      <w:r w:rsidRPr="00C54CF7">
        <w:rPr>
          <w:i/>
          <w:color w:val="0070C0"/>
          <w:sz w:val="21"/>
          <w:szCs w:val="21"/>
        </w:rPr>
        <w:t xml:space="preserve"> к настоящему Договору).</w:t>
      </w:r>
      <w:r w:rsidRPr="00C54CF7">
        <w:rPr>
          <w:sz w:val="21"/>
          <w:szCs w:val="21"/>
        </w:rPr>
        <w:t xml:space="preserve"> </w:t>
      </w:r>
    </w:p>
    <w:p w14:paraId="5017421D" w14:textId="330172D4"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C54CF7">
        <w:rPr>
          <w:i/>
          <w:color w:val="0070C0"/>
          <w:sz w:val="21"/>
          <w:szCs w:val="21"/>
        </w:rPr>
        <w:t>3</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28E8255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C54CF7">
        <w:rPr>
          <w:i/>
          <w:color w:val="0070C0"/>
          <w:sz w:val="21"/>
          <w:szCs w:val="21"/>
        </w:rPr>
        <w:t xml:space="preserve"> №3</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lastRenderedPageBreak/>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10"/>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2" w:name="bookmark28"/>
      <w:r w:rsidRPr="00483B72">
        <w:rPr>
          <w:b/>
          <w:sz w:val="21"/>
          <w:szCs w:val="21"/>
        </w:rPr>
        <w:t xml:space="preserve">ОХРАНА И СОДЕРЖАНИЕ </w:t>
      </w:r>
      <w:bookmarkEnd w:id="12"/>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3" w:name="bookmark31"/>
      <w:r w:rsidRPr="00483B72">
        <w:rPr>
          <w:b/>
          <w:sz w:val="21"/>
          <w:szCs w:val="21"/>
        </w:rPr>
        <w:t>ГАРАНТИЙНЫЕ ОБЯЗАТЕЛЬСТВА</w:t>
      </w:r>
      <w:bookmarkEnd w:id="13"/>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4"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2819077B"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C54CF7">
        <w:rPr>
          <w:rFonts w:ascii="Times New Roman" w:eastAsia="Times New Roman" w:hAnsi="Times New Roman" w:cs="Times New Roman"/>
          <w:bCs/>
          <w:i/>
          <w:color w:val="0070C0"/>
          <w:sz w:val="21"/>
          <w:szCs w:val="21"/>
          <w:lang w:eastAsia="en-US"/>
        </w:rPr>
        <w:t>3</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проверять состояние промышленной безопасности, пожарной безопасности, охраны труда и </w:t>
      </w:r>
      <w:r w:rsidRPr="00483B72">
        <w:rPr>
          <w:rFonts w:ascii="Times New Roman" w:eastAsia="Times New Roman" w:hAnsi="Times New Roman" w:cs="Times New Roman"/>
          <w:bCs/>
          <w:color w:val="auto"/>
          <w:sz w:val="21"/>
          <w:szCs w:val="21"/>
          <w:lang w:eastAsia="en-US"/>
        </w:rPr>
        <w:lastRenderedPageBreak/>
        <w:t>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прошедших обучение по оказанию первой помощи пострадавшим, владеющих приемами </w:t>
      </w:r>
      <w:r w:rsidRPr="00483B72">
        <w:rPr>
          <w:rFonts w:eastAsia="Times New Roman"/>
          <w:bCs/>
          <w:sz w:val="21"/>
          <w:szCs w:val="21"/>
        </w:rPr>
        <w:lastRenderedPageBreak/>
        <w:t>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w:t>
      </w:r>
      <w:r w:rsidRPr="00483B72">
        <w:rPr>
          <w:rFonts w:eastAsia="Times New Roman"/>
          <w:bCs/>
          <w:sz w:val="21"/>
          <w:szCs w:val="21"/>
        </w:rPr>
        <w:lastRenderedPageBreak/>
        <w:t>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w:t>
      </w:r>
      <w:r w:rsidRPr="00483B72">
        <w:rPr>
          <w:rFonts w:eastAsia="Times New Roman"/>
          <w:bCs/>
          <w:sz w:val="21"/>
          <w:szCs w:val="21"/>
        </w:rPr>
        <w:lastRenderedPageBreak/>
        <w:t xml:space="preserve">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w:t>
      </w:r>
      <w:r w:rsidRPr="00483B72">
        <w:rPr>
          <w:rFonts w:eastAsia="Times New Roman"/>
          <w:bCs/>
          <w:sz w:val="21"/>
          <w:szCs w:val="21"/>
        </w:rPr>
        <w:lastRenderedPageBreak/>
        <w:t xml:space="preserve">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4"/>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5" w:name="bookmark34"/>
      <w:r w:rsidRPr="00483B72">
        <w:rPr>
          <w:rStyle w:val="630"/>
          <w:b/>
          <w:sz w:val="21"/>
          <w:szCs w:val="21"/>
          <w:u w:val="none"/>
        </w:rPr>
        <w:t>Ответственность Подрядчика</w:t>
      </w:r>
      <w:r w:rsidRPr="00483B72">
        <w:rPr>
          <w:b/>
          <w:sz w:val="21"/>
          <w:szCs w:val="21"/>
        </w:rPr>
        <w:t>:</w:t>
      </w:r>
      <w:bookmarkEnd w:id="15"/>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 xml:space="preserve">Несоблюдение технологических режимов, установленных </w:t>
            </w:r>
            <w:r w:rsidRPr="00483B72">
              <w:rPr>
                <w:rFonts w:eastAsia="Times New Roman"/>
                <w:sz w:val="21"/>
                <w:szCs w:val="21"/>
              </w:rPr>
              <w:lastRenderedPageBreak/>
              <w:t>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lastRenderedPageBreak/>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w:t>
      </w:r>
      <w:r w:rsidRPr="00483B72">
        <w:rPr>
          <w:rFonts w:eastAsia="Times New Roman"/>
          <w:bCs/>
          <w:sz w:val="21"/>
          <w:szCs w:val="21"/>
        </w:rPr>
        <w:lastRenderedPageBreak/>
        <w:t>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w:t>
      </w:r>
      <w:r w:rsidRPr="00483B72">
        <w:rPr>
          <w:rFonts w:eastAsia="Times New Roman"/>
          <w:bCs/>
          <w:sz w:val="21"/>
          <w:szCs w:val="21"/>
        </w:rPr>
        <w:lastRenderedPageBreak/>
        <w:t>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lastRenderedPageBreak/>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lastRenderedPageBreak/>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lastRenderedPageBreak/>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0CB6AC23"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№1 -</w:t>
            </w:r>
          </w:p>
        </w:tc>
        <w:tc>
          <w:tcPr>
            <w:tcW w:w="6655" w:type="dxa"/>
          </w:tcPr>
          <w:p w14:paraId="2B2924C9" w14:textId="51F7231A" w:rsidR="00AE25FB" w:rsidRPr="000F7504" w:rsidRDefault="00B46F8B" w:rsidP="00B46F8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Локальный</w:t>
            </w:r>
            <w:r w:rsidR="00C54CF7" w:rsidRPr="00483B72">
              <w:rPr>
                <w:bCs/>
                <w:i/>
                <w:color w:val="0070C0"/>
                <w:sz w:val="21"/>
                <w:szCs w:val="21"/>
              </w:rPr>
              <w:t xml:space="preserve"> сметны</w:t>
            </w:r>
            <w:r>
              <w:rPr>
                <w:bCs/>
                <w:i/>
                <w:color w:val="0070C0"/>
                <w:sz w:val="21"/>
                <w:szCs w:val="21"/>
              </w:rPr>
              <w:t>й</w:t>
            </w:r>
            <w:r w:rsidR="00C54CF7">
              <w:rPr>
                <w:bCs/>
                <w:i/>
                <w:color w:val="0070C0"/>
                <w:sz w:val="21"/>
                <w:szCs w:val="21"/>
              </w:rPr>
              <w:t xml:space="preserve"> расчет.</w:t>
            </w:r>
          </w:p>
        </w:tc>
      </w:tr>
      <w:tr w:rsidR="00AE25FB" w:rsidRPr="00483B72" w14:paraId="4C1DCE21" w14:textId="77777777" w:rsidTr="005A417C">
        <w:tc>
          <w:tcPr>
            <w:tcW w:w="3397" w:type="dxa"/>
          </w:tcPr>
          <w:p w14:paraId="799AC42B" w14:textId="7963FC2B"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7EAF8C73" w14:textId="77777777" w:rsidR="00AE25FB" w:rsidRDefault="005A417C"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оказанных агентских услуг. (форма)</w:t>
            </w:r>
          </w:p>
          <w:p w14:paraId="21F5D689" w14:textId="0E73772C" w:rsidR="00AA17F9" w:rsidRPr="00483B72" w:rsidRDefault="00AA17F9" w:rsidP="00AE25FB">
            <w:pPr>
              <w:pStyle w:val="a9"/>
              <w:widowControl w:val="0"/>
              <w:shd w:val="clear" w:color="auto" w:fill="auto"/>
              <w:tabs>
                <w:tab w:val="left" w:pos="0"/>
              </w:tabs>
              <w:spacing w:line="270" w:lineRule="exact"/>
              <w:ind w:right="20" w:firstLine="0"/>
              <w:rPr>
                <w:b/>
                <w:bCs/>
                <w:i/>
                <w:sz w:val="21"/>
                <w:szCs w:val="21"/>
              </w:rPr>
            </w:pPr>
          </w:p>
        </w:tc>
      </w:tr>
    </w:tbl>
    <w:p w14:paraId="4B9B7067" w14:textId="77777777" w:rsidR="00AA17F9" w:rsidRPr="00AA17F9" w:rsidRDefault="00AA17F9" w:rsidP="00AA17F9">
      <w:pPr>
        <w:pStyle w:val="a9"/>
        <w:keepNext/>
        <w:keepLines/>
        <w:widowControl w:val="0"/>
        <w:shd w:val="clear" w:color="auto" w:fill="auto"/>
        <w:tabs>
          <w:tab w:val="left" w:pos="0"/>
          <w:tab w:val="left" w:pos="990"/>
          <w:tab w:val="left" w:pos="3585"/>
        </w:tabs>
        <w:spacing w:line="270" w:lineRule="exact"/>
        <w:ind w:right="20" w:firstLine="0"/>
        <w:rPr>
          <w:bCs/>
          <w:i/>
          <w:color w:val="2E74B5" w:themeColor="accent1" w:themeShade="BF"/>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B46F8B"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lastRenderedPageBreak/>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544F6C0A" w:rsidR="002C0796" w:rsidRPr="00483B72" w:rsidRDefault="00C600B4"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№2</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288218EC" w:rsidR="00CB30F2" w:rsidRPr="00483B72" w:rsidRDefault="00C600B4"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№3</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EB7DBF"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EB7DBF"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EB7DBF"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EB7DBF"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EB7DBF"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EB7DBF"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EB7DBF"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EB7DBF"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EB7DBF"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EB7DBF"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EB7DBF"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EB7DBF"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EB7DBF"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EB7DBF"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EB7DBF"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EB7DBF"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EB7DBF"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EB7DBF"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207220DE" w:rsidR="003676AF" w:rsidRDefault="003676AF" w:rsidP="00EB579E">
      <w:pPr>
        <w:widowControl w:val="0"/>
        <w:rPr>
          <w:rFonts w:ascii="Times New Roman" w:hAnsi="Times New Roman" w:cs="Times New Roman"/>
          <w:i/>
          <w:color w:val="auto"/>
          <w:sz w:val="21"/>
          <w:szCs w:val="21"/>
        </w:rPr>
      </w:pPr>
    </w:p>
    <w:p w14:paraId="5563ADED" w14:textId="6C144FA9" w:rsidR="00AA17F9" w:rsidRDefault="00AA17F9" w:rsidP="00EB579E">
      <w:pPr>
        <w:widowControl w:val="0"/>
        <w:rPr>
          <w:rFonts w:ascii="Times New Roman" w:hAnsi="Times New Roman" w:cs="Times New Roman"/>
          <w:i/>
          <w:color w:val="auto"/>
          <w:sz w:val="21"/>
          <w:szCs w:val="21"/>
        </w:rPr>
      </w:pPr>
    </w:p>
    <w:p w14:paraId="6240FC2E" w14:textId="72175F3A" w:rsidR="00AA17F9" w:rsidRDefault="00AA17F9" w:rsidP="00EB579E">
      <w:pPr>
        <w:widowControl w:val="0"/>
        <w:rPr>
          <w:rFonts w:ascii="Times New Roman" w:hAnsi="Times New Roman" w:cs="Times New Roman"/>
          <w:i/>
          <w:color w:val="auto"/>
          <w:sz w:val="21"/>
          <w:szCs w:val="21"/>
        </w:rPr>
      </w:pPr>
    </w:p>
    <w:p w14:paraId="05AD3134" w14:textId="6045588D" w:rsidR="00AA17F9" w:rsidRDefault="00AA17F9" w:rsidP="00EB579E">
      <w:pPr>
        <w:widowControl w:val="0"/>
        <w:rPr>
          <w:rFonts w:ascii="Times New Roman" w:hAnsi="Times New Roman" w:cs="Times New Roman"/>
          <w:i/>
          <w:color w:val="auto"/>
          <w:sz w:val="21"/>
          <w:szCs w:val="21"/>
        </w:rPr>
      </w:pPr>
    </w:p>
    <w:p w14:paraId="5F63100F" w14:textId="766BEC6F" w:rsidR="00AA17F9" w:rsidRDefault="00AA17F9" w:rsidP="00EB579E">
      <w:pPr>
        <w:widowControl w:val="0"/>
        <w:rPr>
          <w:rFonts w:ascii="Times New Roman" w:hAnsi="Times New Roman" w:cs="Times New Roman"/>
          <w:i/>
          <w:color w:val="auto"/>
          <w:sz w:val="21"/>
          <w:szCs w:val="21"/>
        </w:rPr>
      </w:pPr>
    </w:p>
    <w:sectPr w:rsidR="00AA17F9"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9D7F5" w14:textId="77777777" w:rsidR="00EB7DBF" w:rsidRDefault="00EB7DBF" w:rsidP="007F11D5">
      <w:r>
        <w:separator/>
      </w:r>
    </w:p>
  </w:endnote>
  <w:endnote w:type="continuationSeparator" w:id="0">
    <w:p w14:paraId="26EA13F2" w14:textId="77777777" w:rsidR="00EB7DBF" w:rsidRDefault="00EB7DBF"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AA17F9" w:rsidRDefault="00AA17F9"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A3681B" w14:textId="77777777" w:rsidR="00EB7DBF" w:rsidRDefault="00EB7DBF" w:rsidP="007F11D5">
      <w:r>
        <w:separator/>
      </w:r>
    </w:p>
  </w:footnote>
  <w:footnote w:type="continuationSeparator" w:id="0">
    <w:p w14:paraId="47CE85CE" w14:textId="77777777" w:rsidR="00EB7DBF" w:rsidRDefault="00EB7DBF"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AA17F9" w:rsidRDefault="00AA17F9"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4"/>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40"/>
  </w:num>
  <w:num w:numId="25">
    <w:abstractNumId w:val="35"/>
  </w:num>
  <w:num w:numId="26">
    <w:abstractNumId w:val="14"/>
  </w:num>
  <w:num w:numId="27">
    <w:abstractNumId w:val="10"/>
  </w:num>
  <w:num w:numId="28">
    <w:abstractNumId w:val="41"/>
  </w:num>
  <w:num w:numId="29">
    <w:abstractNumId w:val="43"/>
  </w:num>
  <w:num w:numId="30">
    <w:abstractNumId w:val="37"/>
  </w:num>
  <w:num w:numId="31">
    <w:abstractNumId w:val="3"/>
  </w:num>
  <w:num w:numId="32">
    <w:abstractNumId w:val="4"/>
  </w:num>
  <w:num w:numId="33">
    <w:abstractNumId w:val="0"/>
  </w:num>
  <w:num w:numId="34">
    <w:abstractNumId w:val="42"/>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 w:numId="45">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0F7504"/>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5519"/>
    <w:rsid w:val="00587283"/>
    <w:rsid w:val="00592905"/>
    <w:rsid w:val="005A0980"/>
    <w:rsid w:val="005A417C"/>
    <w:rsid w:val="005A58B5"/>
    <w:rsid w:val="005C0A66"/>
    <w:rsid w:val="005C62F6"/>
    <w:rsid w:val="005C6D98"/>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4C30"/>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029E"/>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A7696"/>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17F9"/>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6F8B"/>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B7DBF"/>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65062">
      <w:bodyDiv w:val="1"/>
      <w:marLeft w:val="0"/>
      <w:marRight w:val="0"/>
      <w:marTop w:val="0"/>
      <w:marBottom w:val="0"/>
      <w:divBdr>
        <w:top w:val="none" w:sz="0" w:space="0" w:color="auto"/>
        <w:left w:val="none" w:sz="0" w:space="0" w:color="auto"/>
        <w:bottom w:val="none" w:sz="0" w:space="0" w:color="auto"/>
        <w:right w:val="none" w:sz="0" w:space="0" w:color="auto"/>
      </w:divBdr>
    </w:div>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 w:id="1682779071">
      <w:bodyDiv w:val="1"/>
      <w:marLeft w:val="0"/>
      <w:marRight w:val="0"/>
      <w:marTop w:val="0"/>
      <w:marBottom w:val="0"/>
      <w:divBdr>
        <w:top w:val="none" w:sz="0" w:space="0" w:color="auto"/>
        <w:left w:val="none" w:sz="0" w:space="0" w:color="auto"/>
        <w:bottom w:val="none" w:sz="0" w:space="0" w:color="auto"/>
        <w:right w:val="none" w:sz="0" w:space="0" w:color="auto"/>
      </w:divBdr>
    </w:div>
    <w:div w:id="211512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A4C2D"/>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30C1"/>
    <w:rsid w:val="00894B03"/>
    <w:rsid w:val="008A49CA"/>
    <w:rsid w:val="008C6D27"/>
    <w:rsid w:val="008F417B"/>
    <w:rsid w:val="008F760B"/>
    <w:rsid w:val="0093659E"/>
    <w:rsid w:val="0097567F"/>
    <w:rsid w:val="00981A9D"/>
    <w:rsid w:val="009D2E91"/>
    <w:rsid w:val="009D3004"/>
    <w:rsid w:val="009F78B3"/>
    <w:rsid w:val="00A06B5F"/>
    <w:rsid w:val="00A078FF"/>
    <w:rsid w:val="00A63D3D"/>
    <w:rsid w:val="00A81655"/>
    <w:rsid w:val="00AF7EC0"/>
    <w:rsid w:val="00B10A94"/>
    <w:rsid w:val="00B3426C"/>
    <w:rsid w:val="00B536A6"/>
    <w:rsid w:val="00BB0149"/>
    <w:rsid w:val="00BF7CE5"/>
    <w:rsid w:val="00C05142"/>
    <w:rsid w:val="00C2030A"/>
    <w:rsid w:val="00C91CA6"/>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1CA6"/>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 w:type="paragraph" w:customStyle="1" w:styleId="5A24F7B355B44C6DB5138B6D7FAFB2B8">
    <w:name w:val="5A24F7B355B44C6DB5138B6D7FAFB2B8"/>
    <w:rsid w:val="00C91CA6"/>
  </w:style>
  <w:style w:type="paragraph" w:customStyle="1" w:styleId="49986AA2A7E5448FB51EDE9B273C2219">
    <w:name w:val="49986AA2A7E5448FB51EDE9B273C2219"/>
    <w:rsid w:val="00C91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49</Pages>
  <Words>20420</Words>
  <Characters>116394</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33</cp:revision>
  <cp:lastPrinted>2024-03-19T04:30:00Z</cp:lastPrinted>
  <dcterms:created xsi:type="dcterms:W3CDTF">2024-01-22T03:46:00Z</dcterms:created>
  <dcterms:modified xsi:type="dcterms:W3CDTF">2025-01-23T09:50:00Z</dcterms:modified>
</cp:coreProperties>
</file>