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39464E">
        <w:rPr>
          <w:rFonts w:ascii="Times New Roman" w:eastAsia="Times New Roman" w:hAnsi="Times New Roman" w:cs="Times New Roman"/>
          <w:sz w:val="22"/>
          <w:szCs w:val="22"/>
        </w:rPr>
        <w:t xml:space="preserve"> </w:t>
      </w:r>
      <w:r w:rsidR="0039464E" w:rsidRPr="0039464E">
        <w:rPr>
          <w:rFonts w:ascii="Times New Roman" w:eastAsia="Times New Roman" w:hAnsi="Times New Roman" w:cs="Times New Roman"/>
          <w:sz w:val="22"/>
          <w:szCs w:val="22"/>
        </w:rPr>
        <w:t>по переводу факельных стволов СФНР-1200/2100-1200/2100-76-00.00.000 ППВ ХЛ факельного хоз</w:t>
      </w:r>
      <w:r w:rsidR="0039464E">
        <w:rPr>
          <w:rFonts w:ascii="Times New Roman" w:eastAsia="Times New Roman" w:hAnsi="Times New Roman" w:cs="Times New Roman"/>
          <w:sz w:val="22"/>
          <w:szCs w:val="22"/>
        </w:rPr>
        <w:t>яйства технологического цеха переработки нефти</w:t>
      </w:r>
      <w:r w:rsidR="0039464E" w:rsidRPr="0039464E">
        <w:rPr>
          <w:rFonts w:ascii="Times New Roman" w:eastAsia="Times New Roman" w:hAnsi="Times New Roman" w:cs="Times New Roman"/>
          <w:sz w:val="22"/>
          <w:szCs w:val="22"/>
        </w:rPr>
        <w:t xml:space="preserve"> №1 в горизонтальное положение и возврат в вертикальное положение</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39464E" w:rsidRDefault="00E97F89" w:rsidP="00E97F89">
      <w:pPr>
        <w:autoSpaceDE w:val="0"/>
        <w:autoSpaceDN w:val="0"/>
        <w:adjustRightInd w:val="0"/>
        <w:jc w:val="both"/>
        <w:rPr>
          <w:rFonts w:ascii="Times New Roman" w:hAnsi="Times New Roman" w:cs="Times New Roman"/>
          <w:sz w:val="22"/>
          <w:szCs w:val="22"/>
        </w:rPr>
      </w:pPr>
      <w:r w:rsidRPr="0039464E">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39464E" w:rsidRDefault="00524B74" w:rsidP="00E97F89">
      <w:pPr>
        <w:autoSpaceDE w:val="0"/>
        <w:autoSpaceDN w:val="0"/>
        <w:adjustRightInd w:val="0"/>
        <w:jc w:val="both"/>
        <w:rPr>
          <w:rFonts w:ascii="Times New Roman" w:hAnsi="Times New Roman" w:cs="Times New Roman"/>
          <w:sz w:val="22"/>
          <w:szCs w:val="22"/>
        </w:rPr>
      </w:pPr>
      <w:r w:rsidRPr="0039464E">
        <w:rPr>
          <w:rFonts w:ascii="Times New Roman" w:hAnsi="Times New Roman" w:cs="Times New Roman"/>
          <w:sz w:val="22"/>
          <w:szCs w:val="22"/>
        </w:rPr>
        <w:t>2.1.5. При оказании услуг на территории Объектов Заказчика с</w:t>
      </w:r>
      <w:r w:rsidR="003C443A" w:rsidRPr="0039464E">
        <w:rPr>
          <w:rFonts w:ascii="Times New Roman" w:hAnsi="Times New Roman" w:cs="Times New Roman"/>
          <w:sz w:val="22"/>
          <w:szCs w:val="22"/>
        </w:rPr>
        <w:t>облюдать требования П 14.02-2024</w:t>
      </w:r>
      <w:r w:rsidRPr="0039464E">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39464E">
        <w:rPr>
          <w:rFonts w:ascii="Times New Roman" w:hAnsi="Times New Roman" w:cs="Times New Roman"/>
          <w:sz w:val="22"/>
          <w:szCs w:val="22"/>
        </w:rPr>
        <w:t>мов на объектах Филиала ООО «РИ-</w:t>
      </w:r>
      <w:r w:rsidRPr="0039464E">
        <w:rPr>
          <w:rFonts w:ascii="Times New Roman" w:hAnsi="Times New Roman" w:cs="Times New Roman"/>
          <w:sz w:val="22"/>
          <w:szCs w:val="22"/>
        </w:rPr>
        <w:t>ИНВЕСТ» - «Т</w:t>
      </w:r>
      <w:r w:rsidR="003C443A" w:rsidRPr="0039464E">
        <w:rPr>
          <w:rFonts w:ascii="Times New Roman" w:hAnsi="Times New Roman" w:cs="Times New Roman"/>
          <w:sz w:val="22"/>
          <w:szCs w:val="22"/>
        </w:rPr>
        <w:t xml:space="preserve">юменский </w:t>
      </w:r>
      <w:r w:rsidRPr="0039464E">
        <w:rPr>
          <w:rFonts w:ascii="Times New Roman" w:hAnsi="Times New Roman" w:cs="Times New Roman"/>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39464E">
        <w:rPr>
          <w:rFonts w:ascii="Times New Roman" w:hAnsi="Times New Roman" w:cs="Times New Roman"/>
          <w:sz w:val="22"/>
          <w:szCs w:val="22"/>
        </w:rPr>
        <w:t>2.1.6. При оказании услуг на опасных производственных Объектах Заказчика,</w:t>
      </w:r>
      <w:r w:rsidRPr="00DC226C">
        <w:rPr>
          <w:sz w:val="22"/>
          <w:szCs w:val="22"/>
        </w:rPr>
        <w:t xml:space="preserve"> </w:t>
      </w:r>
      <w:r w:rsidRPr="00DC226C">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w:t>
      </w:r>
      <w:r w:rsidRPr="00DC226C">
        <w:rPr>
          <w:rFonts w:ascii="Times New Roman" w:hAnsi="Times New Roman" w:cs="Times New Roman"/>
          <w:sz w:val="22"/>
          <w:szCs w:val="22"/>
        </w:rPr>
        <w:lastRenderedPageBreak/>
        <w:t xml:space="preserve">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Default="00B45092">
      <w:pPr>
        <w:tabs>
          <w:tab w:val="left" w:pos="1004"/>
        </w:tabs>
        <w:jc w:val="both"/>
        <w:rPr>
          <w:rFonts w:ascii="Times New Roman" w:eastAsia="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39464E" w:rsidRPr="000045D5" w:rsidRDefault="0039464E">
      <w:pPr>
        <w:tabs>
          <w:tab w:val="left" w:pos="1004"/>
        </w:tabs>
        <w:jc w:val="both"/>
        <w:rPr>
          <w:rFonts w:ascii="Times New Roman" w:hAnsi="Times New Roman" w:cs="Times New Roman"/>
          <w:sz w:val="22"/>
          <w:szCs w:val="22"/>
        </w:rPr>
      </w:pPr>
      <w:r>
        <w:rPr>
          <w:rFonts w:ascii="Times New Roman" w:hAnsi="Times New Roman" w:cs="Times New Roman"/>
          <w:sz w:val="22"/>
          <w:szCs w:val="22"/>
        </w:rPr>
        <w:t xml:space="preserve">4.1.1. </w:t>
      </w:r>
      <w:r w:rsidRPr="0039464E">
        <w:rPr>
          <w:rFonts w:ascii="Times New Roman" w:hAnsi="Times New Roman" w:cs="Times New Roman"/>
          <w:sz w:val="22"/>
          <w:szCs w:val="22"/>
        </w:rPr>
        <w:t>В случае изменения налогового законодательства в области применяемой ставки НДС, сумма НДС, стоимость Работ/Услуг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Работ/Услуг с учетом НДС отражается в первичных учетных документах, счетах-фактурах, выставляемых Подрядчиком/Исполнителем Заказчику. Общая стоимость Работ/Услуг с учетом НДС по настоящему Договору в таких случаях определяется на основании всех первичных учетных документов, оформленных Подрядчиком/Исполнителем во исполнение обязательств по настоящему Договору</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 xml:space="preserve">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w:t>
      </w:r>
      <w:r w:rsidRPr="000045D5">
        <w:rPr>
          <w:rFonts w:ascii="Times New Roman" w:eastAsia="Times New Roman" w:hAnsi="Times New Roman" w:cs="Times New Roman"/>
          <w:sz w:val="22"/>
          <w:szCs w:val="22"/>
        </w:rPr>
        <w:lastRenderedPageBreak/>
        <w:t>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w:t>
      </w:r>
      <w:r w:rsidRPr="00DB7210">
        <w:rPr>
          <w:rFonts w:ascii="Times New Roman" w:eastAsia="Times New Roman" w:hAnsi="Times New Roman" w:cs="Times New Roman"/>
          <w:bCs/>
          <w:color w:val="auto"/>
          <w:sz w:val="22"/>
          <w:szCs w:val="22"/>
        </w:rPr>
        <w:lastRenderedPageBreak/>
        <w:t>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000A0A0E" w:rsidRPr="000045D5">
        <w:rPr>
          <w:rFonts w:ascii="Times New Roman" w:hAnsi="Times New Roman" w:cs="Times New Roman"/>
          <w:sz w:val="22"/>
          <w:szCs w:val="22"/>
        </w:rPr>
        <w:lastRenderedPageBreak/>
        <w:t xml:space="preserve">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 xml:space="preserve">получение взятки, коммерческий подкуп, а также </w:t>
      </w:r>
      <w:r w:rsidR="000A0A0E" w:rsidRPr="000045D5">
        <w:rPr>
          <w:rFonts w:ascii="Times New Roman" w:hAnsi="Times New Roman" w:cs="Times New Roman"/>
          <w:sz w:val="22"/>
          <w:szCs w:val="22"/>
        </w:rPr>
        <w:lastRenderedPageBreak/>
        <w:t>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w:t>
      </w:r>
      <w:r w:rsidRPr="000045D5">
        <w:rPr>
          <w:rFonts w:ascii="Times New Roman" w:eastAsia="Times New Roman" w:hAnsi="Times New Roman" w:cs="Times New Roman"/>
          <w:sz w:val="22"/>
          <w:szCs w:val="22"/>
        </w:rPr>
        <w:lastRenderedPageBreak/>
        <w:t xml:space="preserve">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3C443A">
        <w:rPr>
          <w:rFonts w:ascii="Times New Roman" w:eastAsia="Times New Roman" w:hAnsi="Times New Roman" w:cs="Times New Roman"/>
          <w:sz w:val="22"/>
          <w:szCs w:val="22"/>
        </w:rPr>
        <w:t>нителем)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Pr>
          <w:rFonts w:ascii="Times New Roman" w:eastAsia="Times New Roman" w:hAnsi="Times New Roman" w:cs="Times New Roman"/>
          <w:sz w:val="22"/>
          <w:szCs w:val="22"/>
        </w:rPr>
        <w:t>мов на объектах Филиала ООО «РИ-</w:t>
      </w:r>
      <w:r w:rsidRPr="000045D5">
        <w:rPr>
          <w:rFonts w:ascii="Times New Roman" w:eastAsia="Times New Roman" w:hAnsi="Times New Roman" w:cs="Times New Roman"/>
          <w:sz w:val="22"/>
          <w:szCs w:val="22"/>
        </w:rPr>
        <w:t>ИНВЕСТ» - «Т</w:t>
      </w:r>
      <w:r w:rsidR="003C443A">
        <w:rPr>
          <w:rFonts w:ascii="Times New Roman" w:eastAsia="Times New Roman" w:hAnsi="Times New Roman" w:cs="Times New Roman"/>
          <w:sz w:val="22"/>
          <w:szCs w:val="22"/>
        </w:rPr>
        <w:t xml:space="preserve">юменский </w:t>
      </w:r>
      <w:r w:rsidRPr="000045D5">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Pr>
          <w:rFonts w:ascii="Times New Roman" w:eastAsia="Times New Roman" w:hAnsi="Times New Roman" w:cs="Times New Roman"/>
          <w:sz w:val="22"/>
          <w:szCs w:val="22"/>
        </w:rPr>
        <w:t>полнения Исполнителем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B63210">
        <w:rPr>
          <w:rFonts w:ascii="Times New Roman" w:eastAsia="Times New Roman" w:hAnsi="Times New Roman" w:cs="Times New Roman"/>
          <w:sz w:val="22"/>
          <w:szCs w:val="22"/>
        </w:rPr>
        <w:t>Исполнителя</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E37F2B"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w:t>
      </w:r>
      <w:r w:rsidR="00B404D4" w:rsidRPr="000045D5">
        <w:rPr>
          <w:rFonts w:ascii="Times New Roman" w:hAnsi="Times New Roman" w:cs="Times New Roman"/>
          <w:bCs/>
          <w:sz w:val="22"/>
          <w:szCs w:val="22"/>
        </w:rPr>
        <w:lastRenderedPageBreak/>
        <w:t>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Default="00C96667" w:rsidP="00F02346">
      <w:pPr>
        <w:rPr>
          <w:rFonts w:ascii="Times New Roman" w:hAnsi="Times New Roman" w:cs="Times New Roman"/>
          <w:sz w:val="22"/>
          <w:szCs w:val="22"/>
        </w:rPr>
      </w:pPr>
    </w:p>
    <w:p w:rsidR="00EC0284" w:rsidRPr="00843F2D" w:rsidRDefault="00EC0284" w:rsidP="00EC0284">
      <w:pPr>
        <w:jc w:val="center"/>
        <w:rPr>
          <w:rFonts w:ascii="Times New Roman" w:hAnsi="Times New Roman" w:cs="Times New Roman"/>
          <w:b/>
          <w:sz w:val="22"/>
          <w:szCs w:val="22"/>
        </w:rPr>
      </w:pPr>
      <w:r w:rsidRPr="00843F2D">
        <w:rPr>
          <w:rFonts w:ascii="Times New Roman" w:hAnsi="Times New Roman" w:cs="Times New Roman"/>
          <w:b/>
          <w:sz w:val="22"/>
          <w:szCs w:val="22"/>
        </w:rPr>
        <w:t>11.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843F2D">
          <w:rPr>
            <w:rStyle w:val="ac"/>
            <w:rFonts w:ascii="Times New Roman" w:hAnsi="Times New Roman" w:cs="Times New Roman"/>
            <w:sz w:val="22"/>
            <w:szCs w:val="22"/>
          </w:rPr>
          <w:t>https://www.nalog.ru/rn77/taxation/submission_statements/el_count/</w:t>
        </w:r>
      </w:hyperlink>
      <w:r w:rsidRPr="00843F2D">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C0284">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C0284">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C0284"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C0284"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C0284"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C0284">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 xml:space="preserve">Настоящий Договор заключен в виде электронного документа, подписанного уполномоченными </w:t>
      </w:r>
      <w:r w:rsidR="00BA3634" w:rsidRPr="00BA3634">
        <w:rPr>
          <w:rFonts w:ascii="Times New Roman" w:hAnsi="Times New Roman" w:cs="Times New Roman"/>
          <w:bCs/>
          <w:sz w:val="22"/>
          <w:szCs w:val="22"/>
          <w:lang w:eastAsia="x-none"/>
        </w:rPr>
        <w:lastRenderedPageBreak/>
        <w:t>представителями Сторон с использованием усиленной квалифицированной электронной подписи (УКЭП).</w:t>
      </w:r>
    </w:p>
    <w:p w:rsidR="00A326D1"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A326D1" w:rsidRPr="000045D5">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9"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39464E" w:rsidRDefault="0039464E" w:rsidP="00EC0284">
      <w:pPr>
        <w:widowControl/>
        <w:spacing w:line="264" w:lineRule="auto"/>
        <w:jc w:val="right"/>
        <w:rPr>
          <w:rFonts w:ascii="Times New Roman" w:eastAsiaTheme="minorHAnsi" w:hAnsi="Times New Roman" w:cs="Times New Roman"/>
          <w:b/>
          <w:color w:val="auto"/>
          <w:sz w:val="22"/>
          <w:szCs w:val="22"/>
          <w:lang w:eastAsia="en-US"/>
        </w:rPr>
      </w:pPr>
    </w:p>
    <w:p w:rsidR="0039464E" w:rsidRDefault="0039464E"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Предприятие-Заказчик</w:t>
            </w:r>
          </w:p>
        </w:tc>
        <w:tc>
          <w:tcPr>
            <w:tcW w:w="7766" w:type="dxa"/>
            <w:vAlign w:val="center"/>
          </w:tcPr>
          <w:p w:rsidR="000C34CA" w:rsidRPr="000C34CA" w:rsidRDefault="000C34CA" w:rsidP="000C34CA">
            <w:pPr>
              <w:widowControl/>
              <w:numPr>
                <w:ilvl w:val="1"/>
                <w:numId w:val="25"/>
              </w:numPr>
              <w:shd w:val="clear" w:color="auto" w:fill="FFFFFF"/>
              <w:tabs>
                <w:tab w:val="left" w:pos="459"/>
              </w:tabs>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Филиал «Тюменский НПЗ» ООО «РИ-ИНВЕСТ» </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532"/>
              </w:tabs>
              <w:spacing w:after="200" w:line="276" w:lineRule="auto"/>
              <w:ind w:hanging="396"/>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Наименование объекта и место расположения</w:t>
            </w:r>
          </w:p>
        </w:tc>
        <w:tc>
          <w:tcPr>
            <w:tcW w:w="7766" w:type="dxa"/>
          </w:tcPr>
          <w:p w:rsidR="000C34CA" w:rsidRPr="000C34CA" w:rsidRDefault="000C34CA" w:rsidP="000C34CA">
            <w:pPr>
              <w:widowControl/>
              <w:numPr>
                <w:ilvl w:val="1"/>
                <w:numId w:val="25"/>
              </w:numPr>
              <w:shd w:val="clear" w:color="auto" w:fill="FFFFFF"/>
              <w:tabs>
                <w:tab w:val="left" w:pos="377"/>
              </w:tabs>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Филиал «Тюменский НПЗ» ООО «РИ-ИНВЕСТ» 625047, Тюменская область, </w:t>
            </w:r>
            <w:proofErr w:type="spellStart"/>
            <w:r w:rsidRPr="000C34CA">
              <w:rPr>
                <w:rFonts w:ascii="Times New Roman" w:eastAsia="Times New Roman" w:hAnsi="Times New Roman" w:cs="Times New Roman"/>
                <w:color w:val="auto"/>
              </w:rPr>
              <w:t>г.о</w:t>
            </w:r>
            <w:proofErr w:type="spellEnd"/>
            <w:r w:rsidRPr="000C34CA">
              <w:rPr>
                <w:rFonts w:ascii="Times New Roman" w:eastAsia="Times New Roman" w:hAnsi="Times New Roman" w:cs="Times New Roman"/>
                <w:color w:val="auto"/>
              </w:rPr>
              <w:t>. город Тюмень, г. Тюмень, тер. Автодороги тракт Старый Тобольский, км 6-ой, д.20</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Технологический цех переработки нефти №1; Факельное хозяйство; Ствол системы факельной СФНР-1200/2100-1200/2100-76-00.00.000 ППВ ХЛ. Заводской номер 14496.</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Краткая характеристика оборудования</w:t>
            </w:r>
          </w:p>
        </w:tc>
        <w:tc>
          <w:tcPr>
            <w:tcW w:w="7766" w:type="dxa"/>
          </w:tcPr>
          <w:p w:rsidR="000C34CA" w:rsidRPr="000C34CA" w:rsidRDefault="000C34CA" w:rsidP="000C34CA">
            <w:pPr>
              <w:widowControl/>
              <w:numPr>
                <w:ilvl w:val="1"/>
                <w:numId w:val="25"/>
              </w:numPr>
              <w:shd w:val="clear" w:color="auto" w:fill="FFFFFF"/>
              <w:tabs>
                <w:tab w:val="left" w:pos="459"/>
              </w:tabs>
              <w:rPr>
                <w:rFonts w:ascii="Times New Roman" w:eastAsia="Times New Roman" w:hAnsi="Times New Roman" w:cs="Times New Roman"/>
                <w:color w:val="auto"/>
                <w:sz w:val="22"/>
                <w:szCs w:val="22"/>
              </w:rPr>
            </w:pPr>
            <w:r w:rsidRPr="000C34CA">
              <w:rPr>
                <w:rFonts w:ascii="Times New Roman" w:eastAsia="Times New Roman" w:hAnsi="Times New Roman" w:cs="Times New Roman"/>
                <w:color w:val="auto"/>
              </w:rPr>
              <w:t>Ствол системы факельной СФНР-1200/2100-1200/2100-76-00.00.000 ППВ ХЛ.</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предназначен для сжигания газа (постоянные, аварийные сбросы с установок).</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Условный диаметр оголовка, мм – ДУ 1200</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Условный диаметр ствола, мм</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-внутреннего                                                  1200</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-внешнего                                                       2100</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Высота ствола, м                                           76</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Расход воздуха при 50 мм. вод. ст., м3/ч    169901</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Количество дежурных горелок                    4</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Топливный газ для дежурных горелок:</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  расход на каждую горелку </w:t>
            </w:r>
            <w:proofErr w:type="spellStart"/>
            <w:r w:rsidRPr="000C34CA">
              <w:rPr>
                <w:rFonts w:ascii="Times New Roman" w:eastAsia="Times New Roman" w:hAnsi="Times New Roman" w:cs="Times New Roman"/>
                <w:color w:val="auto"/>
              </w:rPr>
              <w:t>нм</w:t>
            </w:r>
            <w:proofErr w:type="spellEnd"/>
            <w:r w:rsidRPr="000C34CA">
              <w:rPr>
                <w:rFonts w:ascii="Times New Roman" w:eastAsia="Times New Roman" w:hAnsi="Times New Roman" w:cs="Times New Roman"/>
                <w:color w:val="auto"/>
              </w:rPr>
              <w:t>/ч                 1,25</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  давление, кг/см2                                           0,7</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Климатическое исполнение                           ХЛ</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Минимальная температура, </w:t>
            </w:r>
            <w:r w:rsidRPr="000C34CA">
              <w:rPr>
                <w:rFonts w:ascii="Arial" w:eastAsia="Times New Roman" w:hAnsi="Arial" w:cs="Arial"/>
                <w:b/>
                <w:bCs/>
                <w:color w:val="333333"/>
                <w:sz w:val="20"/>
                <w:szCs w:val="20"/>
                <w:shd w:val="clear" w:color="auto" w:fill="FFFFFF"/>
              </w:rPr>
              <w:t>°</w:t>
            </w:r>
            <w:r w:rsidRPr="000C34CA">
              <w:rPr>
                <w:rFonts w:ascii="Times New Roman" w:eastAsia="Times New Roman" w:hAnsi="Times New Roman" w:cs="Times New Roman"/>
                <w:color w:val="auto"/>
              </w:rPr>
              <w:t>С                      минус 50</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Срок эксплуатации                                         20    </w:t>
            </w:r>
          </w:p>
          <w:p w:rsidR="000C34CA" w:rsidRPr="000C34CA" w:rsidRDefault="000C34CA" w:rsidP="000C34CA">
            <w:pPr>
              <w:widowControl/>
              <w:shd w:val="clear" w:color="auto" w:fill="FFFFFF"/>
              <w:tabs>
                <w:tab w:val="left" w:pos="459"/>
              </w:tabs>
              <w:ind w:left="375"/>
              <w:rPr>
                <w:rFonts w:ascii="Times New Roman" w:eastAsia="Times New Roman" w:hAnsi="Times New Roman" w:cs="Times New Roman"/>
                <w:color w:val="auto"/>
              </w:rPr>
            </w:pPr>
            <w:r w:rsidRPr="000C34CA">
              <w:rPr>
                <w:rFonts w:ascii="Times New Roman" w:eastAsia="Times New Roman" w:hAnsi="Times New Roman" w:cs="Times New Roman"/>
                <w:color w:val="auto"/>
              </w:rPr>
              <w:t>Вес, кг                                                              106700 (1шт.)</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Мощность оборудования</w:t>
            </w:r>
          </w:p>
        </w:tc>
        <w:tc>
          <w:tcPr>
            <w:tcW w:w="7766" w:type="dxa"/>
            <w:vAlign w:val="center"/>
          </w:tcPr>
          <w:p w:rsidR="000C34CA" w:rsidRPr="000C34CA" w:rsidRDefault="000C34CA" w:rsidP="000C34CA">
            <w:pPr>
              <w:widowControl/>
              <w:tabs>
                <w:tab w:val="left" w:pos="459"/>
              </w:tabs>
              <w:rPr>
                <w:rFonts w:ascii="Times New Roman" w:eastAsia="Times New Roman" w:hAnsi="Times New Roman" w:cs="Times New Roman"/>
                <w:color w:val="auto"/>
              </w:rPr>
            </w:pPr>
            <w:r w:rsidRPr="000C34CA">
              <w:rPr>
                <w:rFonts w:ascii="Times New Roman" w:eastAsia="Times New Roman" w:hAnsi="Times New Roman" w:cs="Times New Roman"/>
                <w:color w:val="auto"/>
              </w:rPr>
              <w:t>4.1  Расход, кг/час                                                 333000</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Цель работы</w:t>
            </w:r>
          </w:p>
        </w:tc>
        <w:tc>
          <w:tcPr>
            <w:tcW w:w="7766" w:type="dxa"/>
          </w:tcPr>
          <w:p w:rsidR="000C34CA" w:rsidRPr="000C34CA" w:rsidRDefault="000C34CA" w:rsidP="000C34CA">
            <w:pPr>
              <w:widowControl/>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5.1 Выполнение комплекса работ по переводу факельных стволов в горизонтальное положение 0 м, и возврат факельных стволов в вертикальные положения с применением стационарных лебедок и стационарных опорных элементов.</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Состав работ</w:t>
            </w:r>
          </w:p>
        </w:tc>
        <w:tc>
          <w:tcPr>
            <w:tcW w:w="7766" w:type="dxa"/>
          </w:tcPr>
          <w:p w:rsidR="000C34CA" w:rsidRPr="000C34CA" w:rsidRDefault="000C34CA" w:rsidP="000C34CA">
            <w:pPr>
              <w:widowControl/>
              <w:numPr>
                <w:ilvl w:val="1"/>
                <w:numId w:val="25"/>
              </w:numPr>
              <w:shd w:val="clear" w:color="auto" w:fill="FFFFFF"/>
              <w:tabs>
                <w:tab w:val="left" w:pos="459"/>
              </w:tabs>
              <w:spacing w:line="276" w:lineRule="auto"/>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Обследование стволов</w:t>
            </w:r>
          </w:p>
          <w:p w:rsidR="000C34CA" w:rsidRPr="000C34CA" w:rsidRDefault="000C34CA" w:rsidP="000C34CA">
            <w:pPr>
              <w:widowControl/>
              <w:numPr>
                <w:ilvl w:val="2"/>
                <w:numId w:val="25"/>
              </w:numPr>
              <w:shd w:val="clear" w:color="auto" w:fill="FFFFFF"/>
              <w:tabs>
                <w:tab w:val="left" w:pos="802"/>
              </w:tabs>
              <w:spacing w:line="276" w:lineRule="auto"/>
              <w:ind w:left="377" w:hanging="142"/>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Разведка местности, анализ необходимых ЗИП, (в том числе крепёж необходим</w:t>
            </w:r>
            <w:bookmarkStart w:id="1" w:name="_GoBack"/>
            <w:bookmarkEnd w:id="1"/>
            <w:r w:rsidRPr="000C34CA">
              <w:rPr>
                <w:rFonts w:ascii="Times New Roman" w:eastAsia="Calibri" w:hAnsi="Times New Roman" w:cs="Times New Roman"/>
                <w:color w:val="auto"/>
                <w:lang w:eastAsia="en-US"/>
              </w:rPr>
              <w:t>ый для замены при переводе стволов в горизонтальное/вертикальное положение), для обслуживания системы опускания-подъёма факельных стволов. (Не менее чем за 1 месяц, до начала производства работ)</w:t>
            </w:r>
          </w:p>
          <w:p w:rsidR="000C34CA" w:rsidRPr="000C34CA" w:rsidRDefault="000C34CA" w:rsidP="000C34CA">
            <w:pPr>
              <w:widowControl/>
              <w:numPr>
                <w:ilvl w:val="2"/>
                <w:numId w:val="25"/>
              </w:numPr>
              <w:shd w:val="clear" w:color="auto" w:fill="FFFFFF"/>
              <w:tabs>
                <w:tab w:val="left" w:pos="802"/>
                <w:tab w:val="left" w:pos="1086"/>
              </w:tabs>
              <w:spacing w:line="276" w:lineRule="auto"/>
              <w:ind w:left="377" w:hanging="142"/>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 xml:space="preserve">Составление программы, по обследованию и обслуживанию системы опускания-подъёма факельных стволов. </w:t>
            </w:r>
          </w:p>
          <w:p w:rsidR="000C34CA" w:rsidRPr="000C34CA" w:rsidRDefault="000C34CA" w:rsidP="000C34CA">
            <w:pPr>
              <w:widowControl/>
              <w:numPr>
                <w:ilvl w:val="0"/>
                <w:numId w:val="26"/>
              </w:numPr>
              <w:shd w:val="clear" w:color="auto" w:fill="FFFFFF"/>
              <w:tabs>
                <w:tab w:val="left" w:pos="660"/>
              </w:tabs>
              <w:spacing w:line="276" w:lineRule="auto"/>
              <w:ind w:left="377"/>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Разработанная программа согласовывается с заказчиком, готовый вариант предоставляется заказчику на бумажном носителе и в электронной форме.</w:t>
            </w:r>
          </w:p>
          <w:p w:rsidR="000C34CA" w:rsidRPr="000C34CA" w:rsidRDefault="000C34CA" w:rsidP="000C34CA">
            <w:pPr>
              <w:widowControl/>
              <w:numPr>
                <w:ilvl w:val="2"/>
                <w:numId w:val="25"/>
              </w:numPr>
              <w:shd w:val="clear" w:color="auto" w:fill="FFFFFF"/>
              <w:tabs>
                <w:tab w:val="left" w:pos="802"/>
                <w:tab w:val="left" w:pos="1086"/>
              </w:tabs>
              <w:spacing w:line="276" w:lineRule="auto"/>
              <w:ind w:left="377" w:hanging="142"/>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lastRenderedPageBreak/>
              <w:t>Обследование и обслуживание системы опускания-подъема факельных стволов, согласно разработанной и утвержденной программе.</w:t>
            </w:r>
          </w:p>
          <w:p w:rsidR="000C34CA" w:rsidRPr="000C34CA" w:rsidRDefault="000C34CA" w:rsidP="000C34CA">
            <w:pPr>
              <w:widowControl/>
              <w:numPr>
                <w:ilvl w:val="2"/>
                <w:numId w:val="25"/>
              </w:numPr>
              <w:shd w:val="clear" w:color="auto" w:fill="FFFFFF"/>
              <w:tabs>
                <w:tab w:val="left" w:pos="802"/>
                <w:tab w:val="left" w:pos="1086"/>
              </w:tabs>
              <w:spacing w:line="276" w:lineRule="auto"/>
              <w:ind w:left="377" w:hanging="142"/>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Обследование стволов, опорно-силового каркаса несущей конструкции факельной установки, с предоставлением отчёта.</w:t>
            </w:r>
          </w:p>
          <w:p w:rsidR="000C34CA" w:rsidRPr="000C34CA" w:rsidRDefault="000C34CA" w:rsidP="000C34CA">
            <w:pPr>
              <w:widowControl/>
              <w:numPr>
                <w:ilvl w:val="1"/>
                <w:numId w:val="25"/>
              </w:numPr>
              <w:shd w:val="clear" w:color="auto" w:fill="FFFFFF"/>
              <w:tabs>
                <w:tab w:val="left" w:pos="459"/>
              </w:tabs>
              <w:spacing w:line="276" w:lineRule="auto"/>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Перевод стволов в горизонтальное положение</w:t>
            </w:r>
          </w:p>
          <w:p w:rsidR="000C34CA" w:rsidRPr="000C34CA" w:rsidRDefault="000C34CA" w:rsidP="000C34CA">
            <w:pPr>
              <w:widowControl/>
              <w:numPr>
                <w:ilvl w:val="2"/>
                <w:numId w:val="25"/>
              </w:numPr>
              <w:shd w:val="clear" w:color="auto" w:fill="FFFFFF"/>
              <w:tabs>
                <w:tab w:val="left" w:pos="1086"/>
              </w:tabs>
              <w:spacing w:line="276" w:lineRule="auto"/>
              <w:ind w:left="802" w:hanging="567"/>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Демонтаж крепежа, соединяющего ствол с мачтой факела</w:t>
            </w:r>
          </w:p>
          <w:p w:rsidR="000C34CA" w:rsidRPr="000C34CA" w:rsidRDefault="000C34CA" w:rsidP="000C34CA">
            <w:pPr>
              <w:widowControl/>
              <w:numPr>
                <w:ilvl w:val="2"/>
                <w:numId w:val="25"/>
              </w:numPr>
              <w:shd w:val="clear" w:color="auto" w:fill="FFFFFF"/>
              <w:tabs>
                <w:tab w:val="left" w:pos="1086"/>
              </w:tabs>
              <w:spacing w:line="276" w:lineRule="auto"/>
              <w:ind w:left="802" w:hanging="567"/>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Опускание стволов Н-76м</w:t>
            </w:r>
          </w:p>
          <w:p w:rsidR="000C34CA" w:rsidRPr="000C34CA" w:rsidRDefault="000C34CA" w:rsidP="000C34CA">
            <w:pPr>
              <w:widowControl/>
              <w:numPr>
                <w:ilvl w:val="1"/>
                <w:numId w:val="25"/>
              </w:numPr>
              <w:shd w:val="clear" w:color="auto" w:fill="FFFFFF"/>
              <w:tabs>
                <w:tab w:val="left" w:pos="459"/>
              </w:tabs>
              <w:spacing w:line="276" w:lineRule="auto"/>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Перевод стволов в вертикальное положение</w:t>
            </w:r>
          </w:p>
          <w:p w:rsidR="000C34CA" w:rsidRPr="000C34CA" w:rsidRDefault="000C34CA" w:rsidP="000C34CA">
            <w:pPr>
              <w:widowControl/>
              <w:numPr>
                <w:ilvl w:val="2"/>
                <w:numId w:val="25"/>
              </w:numPr>
              <w:shd w:val="clear" w:color="auto" w:fill="FFFFFF"/>
              <w:tabs>
                <w:tab w:val="left" w:pos="1086"/>
              </w:tabs>
              <w:spacing w:line="276" w:lineRule="auto"/>
              <w:ind w:left="802" w:hanging="567"/>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Монтаж крепежа, соединяющего ствол с  опорной башней.</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lastRenderedPageBreak/>
              <w:t>Заказчик обеспечивает</w:t>
            </w:r>
          </w:p>
        </w:tc>
        <w:tc>
          <w:tcPr>
            <w:tcW w:w="7766" w:type="dxa"/>
          </w:tcPr>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Вывод из эксплуатации ствола системы факельной.</w:t>
            </w:r>
          </w:p>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Отключение, </w:t>
            </w:r>
            <w:proofErr w:type="spellStart"/>
            <w:r w:rsidRPr="000C34CA">
              <w:rPr>
                <w:rFonts w:ascii="Times New Roman" w:eastAsia="Times New Roman" w:hAnsi="Times New Roman" w:cs="Times New Roman"/>
                <w:color w:val="auto"/>
              </w:rPr>
              <w:t>отглушение</w:t>
            </w:r>
            <w:proofErr w:type="spellEnd"/>
            <w:r w:rsidRPr="000C34CA">
              <w:rPr>
                <w:rFonts w:ascii="Times New Roman" w:eastAsia="Times New Roman" w:hAnsi="Times New Roman" w:cs="Times New Roman"/>
                <w:color w:val="auto"/>
              </w:rPr>
              <w:t xml:space="preserve"> от подводящих трубопроводов;</w:t>
            </w:r>
          </w:p>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Точку подключения электроэнергии;</w:t>
            </w:r>
          </w:p>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Оформление нарядов на работы повышенной опасности.</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Исходные данные </w:t>
            </w:r>
          </w:p>
        </w:tc>
        <w:tc>
          <w:tcPr>
            <w:tcW w:w="7766" w:type="dxa"/>
          </w:tcPr>
          <w:p w:rsidR="000C34CA" w:rsidRPr="000C34CA" w:rsidRDefault="000C34CA" w:rsidP="000C34CA">
            <w:pPr>
              <w:widowControl/>
              <w:numPr>
                <w:ilvl w:val="1"/>
                <w:numId w:val="25"/>
              </w:numPr>
              <w:shd w:val="clear" w:color="auto" w:fill="FFFFFF"/>
              <w:tabs>
                <w:tab w:val="left" w:pos="459"/>
              </w:tabs>
              <w:rPr>
                <w:rFonts w:ascii="Times New Roman" w:eastAsia="Times New Roman" w:hAnsi="Times New Roman" w:cs="Times New Roman"/>
                <w:color w:val="auto"/>
              </w:rPr>
            </w:pPr>
            <w:r w:rsidRPr="000C34CA">
              <w:rPr>
                <w:rFonts w:ascii="Times New Roman" w:eastAsia="Times New Roman" w:hAnsi="Times New Roman" w:cs="Times New Roman"/>
                <w:color w:val="auto"/>
              </w:rPr>
              <w:t>Паспорт на ствол системы факельной СФНР-1200/2100-1200/2100-76-00.00.000 ППВ ХЛ.</w:t>
            </w:r>
          </w:p>
        </w:tc>
      </w:tr>
      <w:tr w:rsidR="000C34CA" w:rsidRPr="000C34CA" w:rsidTr="00AB08EB">
        <w:trPr>
          <w:trHeight w:val="1125"/>
        </w:trPr>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Срок проведения работ*</w:t>
            </w:r>
          </w:p>
        </w:tc>
        <w:tc>
          <w:tcPr>
            <w:tcW w:w="7766" w:type="dxa"/>
          </w:tcPr>
          <w:p w:rsidR="000C34CA" w:rsidRPr="000C34CA" w:rsidRDefault="000C34CA" w:rsidP="000C34CA">
            <w:pPr>
              <w:widowControl/>
              <w:numPr>
                <w:ilvl w:val="1"/>
                <w:numId w:val="25"/>
              </w:numPr>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Согласно графика остановочного ремонта 2026г.</w:t>
            </w:r>
          </w:p>
          <w:p w:rsidR="000C34CA" w:rsidRPr="000C34CA" w:rsidRDefault="000C34CA" w:rsidP="000C34CA">
            <w:pPr>
              <w:widowControl/>
              <w:ind w:left="375"/>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*точные сроки выполнения работ определяются Заказчиком и указываются в письменном уведомлении, предоставляемом Исполнителю </w:t>
            </w:r>
          </w:p>
        </w:tc>
      </w:tr>
      <w:tr w:rsidR="000C34CA" w:rsidRPr="000C34CA" w:rsidTr="00AB08EB">
        <w:trPr>
          <w:trHeight w:val="1412"/>
        </w:trPr>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Требования в области охраны труда, промышленной и пожарной безопасности</w:t>
            </w:r>
          </w:p>
        </w:tc>
        <w:tc>
          <w:tcPr>
            <w:tcW w:w="7766" w:type="dxa"/>
          </w:tcPr>
          <w:p w:rsidR="000C34CA" w:rsidRPr="000C34CA" w:rsidRDefault="000C34CA" w:rsidP="000C34CA">
            <w:pPr>
              <w:widowControl/>
              <w:numPr>
                <w:ilvl w:val="1"/>
                <w:numId w:val="25"/>
              </w:numPr>
              <w:jc w:val="both"/>
              <w:rPr>
                <w:rFonts w:ascii="Times New Roman" w:eastAsia="Times New Roman" w:hAnsi="Times New Roman" w:cs="Times New Roman"/>
                <w:color w:val="auto"/>
              </w:rPr>
            </w:pPr>
            <w:r w:rsidRPr="000C34CA">
              <w:rPr>
                <w:rFonts w:ascii="Times New Roman" w:eastAsia="Calibri" w:hAnsi="Times New Roman" w:cs="Calibri"/>
                <w:color w:val="auto"/>
                <w:lang w:eastAsia="en-US"/>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0C34CA" w:rsidRPr="000C34CA" w:rsidRDefault="000C34CA" w:rsidP="000C34CA">
            <w:pPr>
              <w:widowControl/>
              <w:numPr>
                <w:ilvl w:val="1"/>
                <w:numId w:val="25"/>
              </w:numPr>
              <w:jc w:val="both"/>
              <w:rPr>
                <w:rFonts w:ascii="Times New Roman" w:eastAsia="Times New Roman" w:hAnsi="Times New Roman" w:cs="Times New Roman"/>
                <w:color w:val="auto"/>
              </w:rPr>
            </w:pPr>
            <w:r w:rsidRPr="000C34CA">
              <w:rPr>
                <w:rFonts w:ascii="Times New Roman" w:eastAsia="Calibri" w:hAnsi="Times New Roman" w:cs="Calibri"/>
                <w:color w:val="auto"/>
                <w:lang w:eastAsia="en-US"/>
              </w:rPr>
              <w:t>Обеспечение работников полным комплектом СИЗ с антистатическими свойствами, (включая каска защитная с подбородочным ремешком, перчатки, защитные очки, противогаз с комбинированным фильтром марки А1В1Е1К1Р1).</w:t>
            </w:r>
          </w:p>
          <w:p w:rsidR="000C34CA" w:rsidRPr="000C34CA" w:rsidRDefault="000C34CA" w:rsidP="000C34CA">
            <w:pPr>
              <w:widowControl/>
              <w:numPr>
                <w:ilvl w:val="1"/>
                <w:numId w:val="25"/>
              </w:numPr>
              <w:jc w:val="both"/>
              <w:rPr>
                <w:rFonts w:ascii="Times New Roman" w:eastAsia="Times New Roman" w:hAnsi="Times New Roman" w:cs="Times New Roman"/>
                <w:color w:val="auto"/>
              </w:rPr>
            </w:pPr>
            <w:r w:rsidRPr="000C34CA">
              <w:rPr>
                <w:rFonts w:ascii="Times New Roman" w:eastAsia="Calibri" w:hAnsi="Times New Roman" w:cs="Calibri"/>
                <w:color w:val="auto"/>
                <w:lang w:eastAsia="en-US"/>
              </w:rPr>
              <w:t>Соблюдение правил, инструкций, положений, регламентов, действующих на территории Заказчика.</w:t>
            </w:r>
          </w:p>
          <w:p w:rsidR="000C34CA" w:rsidRPr="000C34CA" w:rsidRDefault="000C34CA" w:rsidP="000C34CA">
            <w:pPr>
              <w:widowControl/>
              <w:numPr>
                <w:ilvl w:val="1"/>
                <w:numId w:val="25"/>
              </w:numPr>
              <w:jc w:val="both"/>
              <w:rPr>
                <w:rFonts w:ascii="Times New Roman" w:eastAsia="Times New Roman" w:hAnsi="Times New Roman" w:cs="Times New Roman"/>
                <w:color w:val="auto"/>
              </w:rPr>
            </w:pPr>
            <w:r w:rsidRPr="000C34CA">
              <w:rPr>
                <w:rFonts w:ascii="Times New Roman" w:eastAsia="Calibri" w:hAnsi="Times New Roman" w:cs="Calibri"/>
                <w:color w:val="auto"/>
                <w:lang w:eastAsia="en-US"/>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p w:rsidR="000C34CA" w:rsidRPr="000C34CA" w:rsidRDefault="000C34CA" w:rsidP="000C34CA">
            <w:pPr>
              <w:widowControl/>
              <w:numPr>
                <w:ilvl w:val="1"/>
                <w:numId w:val="25"/>
              </w:numPr>
              <w:spacing w:line="276" w:lineRule="auto"/>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Наличия собственного квалифицированного и аттестованного кадрового состава:</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 удостоверение по профессии;</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 удостоверение о проверке знаний требований охраны труда;</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 удостоверение стропальщика;</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-удостоверение об обучении безопасным методам и приемам выполнения работ на высоте;</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 протокол аттестации по ПБ на ответственных лиц в соответствии с Приказом от 4 сентября 2020 г. N 334, «Об утверждении перечня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  А.1 – Общие требования промышленной безопасности;</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 Б.1.11 – Безопасное ведение газоопасных, огневых и ремонтных работ;</w:t>
            </w:r>
          </w:p>
          <w:p w:rsidR="000C34CA" w:rsidRPr="000C34CA" w:rsidRDefault="000C34CA" w:rsidP="000C34CA">
            <w:pPr>
              <w:widowControl/>
              <w:spacing w:line="276" w:lineRule="auto"/>
              <w:ind w:left="375"/>
              <w:jc w:val="both"/>
              <w:rPr>
                <w:rFonts w:ascii="Times New Roman" w:eastAsia="Calibri" w:hAnsi="Times New Roman" w:cs="Calibri"/>
                <w:color w:val="auto"/>
                <w:lang w:eastAsia="en-US"/>
              </w:rPr>
            </w:pPr>
            <w:r w:rsidRPr="000C34CA">
              <w:rPr>
                <w:rFonts w:ascii="Times New Roman" w:eastAsia="Calibri" w:hAnsi="Times New Roman" w:cs="Calibri"/>
                <w:color w:val="auto"/>
                <w:lang w:eastAsia="en-US"/>
              </w:rPr>
              <w:t>- Б.9.3 – Эксплуатация опасных производственных объектов, на которых применяется подъемные сооружения, предназначенные для подъема и перемещения грузов;</w:t>
            </w:r>
          </w:p>
        </w:tc>
      </w:tr>
      <w:tr w:rsidR="000C34CA" w:rsidRPr="000C34CA" w:rsidTr="00AB08EB">
        <w:trPr>
          <w:trHeight w:val="1446"/>
        </w:trPr>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lastRenderedPageBreak/>
              <w:t>Дополнительные требования</w:t>
            </w:r>
          </w:p>
        </w:tc>
        <w:tc>
          <w:tcPr>
            <w:tcW w:w="7766" w:type="dxa"/>
          </w:tcPr>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Аттестация ответственных за проведение работ, а также исполнителей в порядке, установленном законодательством РФ;</w:t>
            </w:r>
          </w:p>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К работам допускаются лица, достигшие 18-ти летнего возраста, не имеющие медицинские противопоказания к выполнению указанных работ, допущенные к самостоятельной работе после прохождения инструктажа, стажировки, обучения безопасным методам и приемам выполнения работ и проверки знаний требований охраны труда и промышленной безопасности в установленном порядке</w:t>
            </w:r>
          </w:p>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w:t>
            </w:r>
            <w:r w:rsidRPr="000C34CA">
              <w:rPr>
                <w:rFonts w:ascii="Times New Roman" w:eastAsia="Times New Roman" w:hAnsi="Times New Roman" w:cs="Times New Roman"/>
                <w:b/>
                <w:color w:val="auto"/>
              </w:rPr>
              <w:t>10 дней</w:t>
            </w:r>
            <w:r w:rsidRPr="000C34CA">
              <w:rPr>
                <w:rFonts w:ascii="Times New Roman" w:eastAsia="Times New Roman" w:hAnsi="Times New Roman" w:cs="Times New Roman"/>
                <w:color w:val="auto"/>
              </w:rPr>
              <w:t xml:space="preserve"> до </w:t>
            </w:r>
            <w:r>
              <w:rPr>
                <w:rFonts w:ascii="Times New Roman" w:eastAsia="Times New Roman" w:hAnsi="Times New Roman" w:cs="Times New Roman"/>
                <w:color w:val="auto"/>
              </w:rPr>
              <w:t>начала</w:t>
            </w:r>
            <w:r w:rsidRPr="000C34CA">
              <w:rPr>
                <w:rFonts w:ascii="Times New Roman" w:eastAsia="Times New Roman" w:hAnsi="Times New Roman" w:cs="Times New Roman"/>
                <w:color w:val="auto"/>
              </w:rPr>
              <w:t xml:space="preserve"> работ.</w:t>
            </w:r>
          </w:p>
          <w:p w:rsidR="000C34CA" w:rsidRPr="000C34CA" w:rsidRDefault="000C34CA" w:rsidP="000C34CA">
            <w:pPr>
              <w:widowControl/>
              <w:numPr>
                <w:ilvl w:val="1"/>
                <w:numId w:val="25"/>
              </w:numPr>
              <w:ind w:right="132"/>
              <w:jc w:val="both"/>
              <w:rPr>
                <w:rFonts w:ascii="Times New Roman" w:eastAsia="Times New Roman" w:hAnsi="Times New Roman" w:cs="Times New Roman"/>
                <w:color w:val="auto"/>
                <w:szCs w:val="20"/>
              </w:rPr>
            </w:pPr>
            <w:r w:rsidRPr="000C34CA">
              <w:rPr>
                <w:rFonts w:ascii="Times New Roman" w:eastAsia="Times New Roman" w:hAnsi="Times New Roman" w:cs="Times New Roman"/>
                <w:color w:val="auto"/>
                <w:szCs w:val="20"/>
              </w:rPr>
              <w:t>Разработка и согласование с Заказчиком ППР регламентирующего безопасную последовательность выполнения работ.</w:t>
            </w:r>
          </w:p>
        </w:tc>
      </w:tr>
      <w:tr w:rsidR="000C34CA" w:rsidRPr="000C34CA" w:rsidTr="00AB08EB">
        <w:trPr>
          <w:trHeight w:val="1446"/>
        </w:trPr>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Нормативно-техническая документация</w:t>
            </w:r>
          </w:p>
        </w:tc>
        <w:tc>
          <w:tcPr>
            <w:tcW w:w="7766" w:type="dxa"/>
          </w:tcPr>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rPr>
              <w:t>Все работы должны выполняться с применимыми нормами и правилами, действующими на территории РФ включая следующие нормативно-технические документы, но не ограничиваясь</w:t>
            </w:r>
          </w:p>
          <w:p w:rsidR="000C34CA" w:rsidRPr="000C34CA" w:rsidRDefault="000C34CA" w:rsidP="000C34CA">
            <w:pPr>
              <w:widowControl/>
              <w:numPr>
                <w:ilvl w:val="2"/>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rPr>
              <w:t>Постановление Правительства РФ от 11.07.2020 № 1034 «Правила противопожарного режима в Российской Федерации»;</w:t>
            </w:r>
          </w:p>
          <w:p w:rsidR="000C34CA" w:rsidRPr="000C34CA" w:rsidRDefault="000C34CA" w:rsidP="000C34CA">
            <w:pPr>
              <w:widowControl/>
              <w:numPr>
                <w:ilvl w:val="2"/>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Приказ от 15 декабря 2020 г. №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0C34CA" w:rsidRPr="000C34CA" w:rsidRDefault="000C34CA" w:rsidP="000C34CA">
            <w:pPr>
              <w:widowControl/>
              <w:numPr>
                <w:ilvl w:val="2"/>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Приказ от 15 декабря 2020 г.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0C34CA" w:rsidRPr="000C34CA" w:rsidRDefault="000C34CA" w:rsidP="000C34CA">
            <w:pPr>
              <w:widowControl/>
              <w:numPr>
                <w:ilvl w:val="2"/>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№123-ФЗ от 22.01.2008г. «Технический регламент о требованиях пожарной безопасности»;</w:t>
            </w:r>
          </w:p>
          <w:p w:rsidR="000C34CA" w:rsidRPr="000C34CA" w:rsidRDefault="000C34CA" w:rsidP="000C34CA">
            <w:pPr>
              <w:widowControl/>
              <w:numPr>
                <w:ilvl w:val="2"/>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Calibri" w:hAnsi="Times New Roman" w:cs="Times New Roman CYR"/>
                <w:color w:val="auto"/>
                <w:lang w:eastAsia="en-US"/>
              </w:rPr>
              <w:t>Приказ от 26 ноября 2020 г. №461 «Правила безопасности опасных производственных объектов, на которых используются подъемные сооружения»;</w:t>
            </w:r>
          </w:p>
          <w:p w:rsidR="000C34CA" w:rsidRPr="000C34CA" w:rsidRDefault="000C34CA" w:rsidP="000C34CA">
            <w:pPr>
              <w:widowControl/>
              <w:numPr>
                <w:ilvl w:val="2"/>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Calibri" w:hAnsi="Times New Roman" w:cs="Times New Roman"/>
                <w:color w:val="auto"/>
                <w:lang w:eastAsia="en-US"/>
              </w:rPr>
              <w:t>ФЗ от 21.07.1997 №116-ФЗ «О промышленной безопасности опасных производственных объектов»;</w:t>
            </w:r>
          </w:p>
        </w:tc>
      </w:tr>
      <w:tr w:rsidR="000C34CA" w:rsidRPr="000C34CA" w:rsidTr="00AB08EB">
        <w:trPr>
          <w:trHeight w:val="1446"/>
        </w:trPr>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Гарантийные обязательства Подрядчика</w:t>
            </w:r>
          </w:p>
        </w:tc>
        <w:tc>
          <w:tcPr>
            <w:tcW w:w="7766" w:type="dxa"/>
          </w:tcPr>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Гарантийный срок </w:t>
            </w:r>
            <w:r w:rsidRPr="000C34CA">
              <w:rPr>
                <w:rFonts w:ascii="Times New Roman" w:eastAsia="Times New Roman" w:hAnsi="Times New Roman" w:cs="Times New Roman"/>
                <w:color w:val="auto"/>
                <w:lang w:val="en-US"/>
              </w:rPr>
              <w:t xml:space="preserve">24 </w:t>
            </w:r>
            <w:r w:rsidRPr="000C34CA">
              <w:rPr>
                <w:rFonts w:ascii="Times New Roman" w:eastAsia="Times New Roman" w:hAnsi="Times New Roman" w:cs="Times New Roman"/>
                <w:color w:val="auto"/>
              </w:rPr>
              <w:t>месяца;</w:t>
            </w:r>
          </w:p>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Началом гарантийного срока считать дату подписания акта выполненных работ, и сдача исполнительной документации.</w:t>
            </w:r>
          </w:p>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За некачественное и ненадлежащее исполнение взятых на себя обязательств, Подрядчик несет полную ответственность за причинённый ущерб.</w:t>
            </w:r>
          </w:p>
        </w:tc>
      </w:tr>
      <w:tr w:rsidR="000C34CA" w:rsidRPr="000C34CA" w:rsidTr="00AB08EB">
        <w:tc>
          <w:tcPr>
            <w:tcW w:w="2624" w:type="dxa"/>
          </w:tcPr>
          <w:p w:rsidR="000C34CA" w:rsidRPr="000C34CA" w:rsidRDefault="000C34CA" w:rsidP="000C34CA">
            <w:pPr>
              <w:widowControl/>
              <w:numPr>
                <w:ilvl w:val="0"/>
                <w:numId w:val="25"/>
              </w:numPr>
              <w:shd w:val="clear" w:color="auto" w:fill="FFFFFF"/>
              <w:tabs>
                <w:tab w:val="num" w:pos="426"/>
              </w:tabs>
              <w:ind w:left="426" w:hanging="426"/>
              <w:rPr>
                <w:rFonts w:ascii="Times New Roman" w:eastAsia="Times New Roman" w:hAnsi="Times New Roman" w:cs="Times New Roman"/>
                <w:color w:val="auto"/>
              </w:rPr>
            </w:pPr>
            <w:r w:rsidRPr="000C34CA">
              <w:rPr>
                <w:rFonts w:ascii="Times New Roman" w:eastAsia="Times New Roman" w:hAnsi="Times New Roman" w:cs="Times New Roman"/>
                <w:color w:val="auto"/>
              </w:rPr>
              <w:t>Результаты работы</w:t>
            </w:r>
          </w:p>
        </w:tc>
        <w:tc>
          <w:tcPr>
            <w:tcW w:w="7766" w:type="dxa"/>
          </w:tcPr>
          <w:p w:rsidR="000C34CA" w:rsidRPr="000C34CA" w:rsidRDefault="000C34CA" w:rsidP="000C34CA">
            <w:pPr>
              <w:widowControl/>
              <w:numPr>
                <w:ilvl w:val="1"/>
                <w:numId w:val="25"/>
              </w:numPr>
              <w:shd w:val="clear" w:color="auto" w:fill="FFFFFF"/>
              <w:tabs>
                <w:tab w:val="left" w:pos="459"/>
              </w:tabs>
              <w:jc w:val="both"/>
              <w:rPr>
                <w:rFonts w:ascii="Times New Roman" w:eastAsia="Times New Roman" w:hAnsi="Times New Roman" w:cs="Times New Roman"/>
                <w:color w:val="auto"/>
              </w:rPr>
            </w:pPr>
            <w:r w:rsidRPr="000C34CA">
              <w:rPr>
                <w:rFonts w:ascii="Times New Roman" w:eastAsia="Times New Roman" w:hAnsi="Times New Roman" w:cs="Times New Roman"/>
                <w:color w:val="auto"/>
              </w:rPr>
              <w:t xml:space="preserve">Приемка выполненных работ и оценка качества </w:t>
            </w:r>
            <w:r w:rsidRPr="000C34CA">
              <w:rPr>
                <w:rFonts w:ascii="Times New Roman" w:eastAsia="Times New Roman" w:hAnsi="Times New Roman" w:cs="Times New Roman"/>
                <w:color w:val="auto"/>
              </w:rPr>
              <w:t>фиксируются</w:t>
            </w:r>
            <w:r w:rsidRPr="000C34CA">
              <w:rPr>
                <w:rFonts w:ascii="Times New Roman" w:eastAsia="Times New Roman" w:hAnsi="Times New Roman" w:cs="Times New Roman"/>
                <w:color w:val="auto"/>
              </w:rPr>
              <w:t xml:space="preserve"> актом выполненных работ. </w:t>
            </w:r>
          </w:p>
        </w:tc>
      </w:tr>
      <w:tr w:rsidR="000C34CA" w:rsidRPr="000C34CA" w:rsidTr="00AB08EB">
        <w:trPr>
          <w:trHeight w:val="624"/>
        </w:trPr>
        <w:tc>
          <w:tcPr>
            <w:tcW w:w="2624" w:type="dxa"/>
          </w:tcPr>
          <w:p w:rsidR="000C34CA" w:rsidRPr="000C34CA" w:rsidRDefault="000C34CA" w:rsidP="000C34CA">
            <w:pPr>
              <w:widowControl/>
              <w:numPr>
                <w:ilvl w:val="0"/>
                <w:numId w:val="25"/>
              </w:numPr>
              <w:shd w:val="clear" w:color="auto" w:fill="FFFFFF"/>
              <w:tabs>
                <w:tab w:val="num" w:pos="457"/>
              </w:tabs>
              <w:spacing w:after="200" w:line="276" w:lineRule="auto"/>
              <w:ind w:left="32" w:hanging="32"/>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Формы отчетности</w:t>
            </w:r>
          </w:p>
        </w:tc>
        <w:tc>
          <w:tcPr>
            <w:tcW w:w="7766" w:type="dxa"/>
          </w:tcPr>
          <w:p w:rsidR="000C34CA" w:rsidRPr="000C34CA" w:rsidRDefault="000C34CA" w:rsidP="000C34CA">
            <w:pPr>
              <w:widowControl/>
              <w:numPr>
                <w:ilvl w:val="1"/>
                <w:numId w:val="25"/>
              </w:numPr>
              <w:shd w:val="clear" w:color="auto" w:fill="FFFFFF"/>
              <w:tabs>
                <w:tab w:val="left" w:pos="459"/>
                <w:tab w:val="left" w:pos="888"/>
              </w:tabs>
              <w:jc w:val="both"/>
              <w:rPr>
                <w:rFonts w:ascii="Times New Roman" w:eastAsia="Calibri" w:hAnsi="Times New Roman" w:cs="Times New Roman"/>
                <w:color w:val="auto"/>
                <w:lang w:eastAsia="en-US"/>
              </w:rPr>
            </w:pPr>
            <w:r w:rsidRPr="000C34CA">
              <w:rPr>
                <w:rFonts w:ascii="Times New Roman" w:eastAsia="Calibri" w:hAnsi="Times New Roman" w:cs="Times New Roman"/>
                <w:color w:val="auto"/>
                <w:lang w:eastAsia="en-US"/>
              </w:rPr>
              <w:t xml:space="preserve">Результаты работы в виде отчета на бумажном носителе в 2-х экземплярах и в электронной форме. </w:t>
            </w: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D1593E" w:rsidRPr="00D1593E" w:rsidTr="000C34CA">
        <w:trPr>
          <w:trHeight w:val="2179"/>
        </w:trPr>
        <w:tc>
          <w:tcPr>
            <w:tcW w:w="4952" w:type="dxa"/>
          </w:tcPr>
          <w:p w:rsidR="00D1593E" w:rsidRPr="00D1593E" w:rsidRDefault="000C34CA" w:rsidP="00D1593E">
            <w:pPr>
              <w:jc w:val="both"/>
              <w:rPr>
                <w:b/>
                <w:sz w:val="22"/>
                <w:szCs w:val="22"/>
              </w:rPr>
            </w:pPr>
            <w:r>
              <w:rPr>
                <w:b/>
                <w:sz w:val="22"/>
                <w:szCs w:val="22"/>
              </w:rPr>
              <w:t>И</w:t>
            </w:r>
            <w:r w:rsidR="00D1593E" w:rsidRPr="00983C52">
              <w:rPr>
                <w:b/>
                <w:sz w:val="22"/>
                <w:szCs w:val="22"/>
              </w:rPr>
              <w:t>сполнитель</w:t>
            </w:r>
          </w:p>
          <w:p w:rsidR="00D1593E" w:rsidRPr="00D1593E" w:rsidRDefault="00D1593E" w:rsidP="00D1593E">
            <w:pPr>
              <w:jc w:val="both"/>
              <w:rPr>
                <w:b/>
                <w:sz w:val="22"/>
                <w:szCs w:val="22"/>
              </w:rPr>
            </w:pPr>
          </w:p>
        </w:tc>
        <w:tc>
          <w:tcPr>
            <w:tcW w:w="4971"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843F2D">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885" w:rsidRDefault="00725885">
      <w:r>
        <w:separator/>
      </w:r>
    </w:p>
  </w:endnote>
  <w:endnote w:type="continuationSeparator" w:id="0">
    <w:p w:rsidR="00725885" w:rsidRDefault="0072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2D" w:rsidRDefault="00843F2D" w:rsidP="00FE6F0A">
    <w:pPr>
      <w:pStyle w:val="aa"/>
      <w:jc w:val="center"/>
      <w:rPr>
        <w:sz w:val="20"/>
        <w:szCs w:val="20"/>
      </w:rPr>
    </w:pPr>
  </w:p>
  <w:p w:rsidR="00532895" w:rsidRPr="00CD2D00" w:rsidRDefault="00532895"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885" w:rsidRDefault="00725885">
      <w:r>
        <w:separator/>
      </w:r>
    </w:p>
  </w:footnote>
  <w:footnote w:type="continuationSeparator" w:id="0">
    <w:p w:rsidR="00725885" w:rsidRDefault="0072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0F24C1"/>
    <w:multiLevelType w:val="hybridMultilevel"/>
    <w:tmpl w:val="88B28E22"/>
    <w:lvl w:ilvl="0" w:tplc="04190001">
      <w:start w:val="1"/>
      <w:numFmt w:val="bullet"/>
      <w:lvlText w:val=""/>
      <w:lvlJc w:val="left"/>
      <w:pPr>
        <w:ind w:left="1581" w:hanging="360"/>
      </w:pPr>
      <w:rPr>
        <w:rFonts w:ascii="Symbol" w:hAnsi="Symbol" w:hint="default"/>
      </w:rPr>
    </w:lvl>
    <w:lvl w:ilvl="1" w:tplc="04190003" w:tentative="1">
      <w:start w:val="1"/>
      <w:numFmt w:val="bullet"/>
      <w:lvlText w:val="o"/>
      <w:lvlJc w:val="left"/>
      <w:pPr>
        <w:ind w:left="2301" w:hanging="360"/>
      </w:pPr>
      <w:rPr>
        <w:rFonts w:ascii="Courier New" w:hAnsi="Courier New" w:cs="Courier New" w:hint="default"/>
      </w:rPr>
    </w:lvl>
    <w:lvl w:ilvl="2" w:tplc="04190005" w:tentative="1">
      <w:start w:val="1"/>
      <w:numFmt w:val="bullet"/>
      <w:lvlText w:val=""/>
      <w:lvlJc w:val="left"/>
      <w:pPr>
        <w:ind w:left="3021" w:hanging="360"/>
      </w:pPr>
      <w:rPr>
        <w:rFonts w:ascii="Wingdings" w:hAnsi="Wingdings" w:hint="default"/>
      </w:rPr>
    </w:lvl>
    <w:lvl w:ilvl="3" w:tplc="04190001" w:tentative="1">
      <w:start w:val="1"/>
      <w:numFmt w:val="bullet"/>
      <w:lvlText w:val=""/>
      <w:lvlJc w:val="left"/>
      <w:pPr>
        <w:ind w:left="3741" w:hanging="360"/>
      </w:pPr>
      <w:rPr>
        <w:rFonts w:ascii="Symbol" w:hAnsi="Symbol" w:hint="default"/>
      </w:rPr>
    </w:lvl>
    <w:lvl w:ilvl="4" w:tplc="04190003" w:tentative="1">
      <w:start w:val="1"/>
      <w:numFmt w:val="bullet"/>
      <w:lvlText w:val="o"/>
      <w:lvlJc w:val="left"/>
      <w:pPr>
        <w:ind w:left="4461" w:hanging="360"/>
      </w:pPr>
      <w:rPr>
        <w:rFonts w:ascii="Courier New" w:hAnsi="Courier New" w:cs="Courier New" w:hint="default"/>
      </w:rPr>
    </w:lvl>
    <w:lvl w:ilvl="5" w:tplc="04190005" w:tentative="1">
      <w:start w:val="1"/>
      <w:numFmt w:val="bullet"/>
      <w:lvlText w:val=""/>
      <w:lvlJc w:val="left"/>
      <w:pPr>
        <w:ind w:left="5181" w:hanging="360"/>
      </w:pPr>
      <w:rPr>
        <w:rFonts w:ascii="Wingdings" w:hAnsi="Wingdings" w:hint="default"/>
      </w:rPr>
    </w:lvl>
    <w:lvl w:ilvl="6" w:tplc="04190001" w:tentative="1">
      <w:start w:val="1"/>
      <w:numFmt w:val="bullet"/>
      <w:lvlText w:val=""/>
      <w:lvlJc w:val="left"/>
      <w:pPr>
        <w:ind w:left="5901" w:hanging="360"/>
      </w:pPr>
      <w:rPr>
        <w:rFonts w:ascii="Symbol" w:hAnsi="Symbol" w:hint="default"/>
      </w:rPr>
    </w:lvl>
    <w:lvl w:ilvl="7" w:tplc="04190003" w:tentative="1">
      <w:start w:val="1"/>
      <w:numFmt w:val="bullet"/>
      <w:lvlText w:val="o"/>
      <w:lvlJc w:val="left"/>
      <w:pPr>
        <w:ind w:left="6621" w:hanging="360"/>
      </w:pPr>
      <w:rPr>
        <w:rFonts w:ascii="Courier New" w:hAnsi="Courier New" w:cs="Courier New" w:hint="default"/>
      </w:rPr>
    </w:lvl>
    <w:lvl w:ilvl="8" w:tplc="04190005" w:tentative="1">
      <w:start w:val="1"/>
      <w:numFmt w:val="bullet"/>
      <w:lvlText w:val=""/>
      <w:lvlJc w:val="left"/>
      <w:pPr>
        <w:ind w:left="7341" w:hanging="360"/>
      </w:pPr>
      <w:rPr>
        <w:rFonts w:ascii="Wingdings" w:hAnsi="Wingdings" w:hint="default"/>
      </w:r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14AB3"/>
    <w:multiLevelType w:val="multilevel"/>
    <w:tmpl w:val="6C7C312C"/>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4"/>
        <w:szCs w:val="24"/>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3"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5"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8"/>
  </w:num>
  <w:num w:numId="4">
    <w:abstractNumId w:val="3"/>
  </w:num>
  <w:num w:numId="5">
    <w:abstractNumId w:val="12"/>
  </w:num>
  <w:num w:numId="6">
    <w:abstractNumId w:val="18"/>
  </w:num>
  <w:num w:numId="7">
    <w:abstractNumId w:val="13"/>
  </w:num>
  <w:num w:numId="8">
    <w:abstractNumId w:val="5"/>
  </w:num>
  <w:num w:numId="9">
    <w:abstractNumId w:val="16"/>
  </w:num>
  <w:num w:numId="10">
    <w:abstractNumId w:val="7"/>
  </w:num>
  <w:num w:numId="11">
    <w:abstractNumId w:val="11"/>
  </w:num>
  <w:num w:numId="12">
    <w:abstractNumId w:val="17"/>
  </w:num>
  <w:num w:numId="13">
    <w:abstractNumId w:val="22"/>
  </w:num>
  <w:num w:numId="14">
    <w:abstractNumId w:val="25"/>
  </w:num>
  <w:num w:numId="15">
    <w:abstractNumId w:val="0"/>
  </w:num>
  <w:num w:numId="16">
    <w:abstractNumId w:val="6"/>
  </w:num>
  <w:num w:numId="17">
    <w:abstractNumId w:val="20"/>
  </w:num>
  <w:num w:numId="18">
    <w:abstractNumId w:val="4"/>
  </w:num>
  <w:num w:numId="19">
    <w:abstractNumId w:val="14"/>
  </w:num>
  <w:num w:numId="20">
    <w:abstractNumId w:val="19"/>
  </w:num>
  <w:num w:numId="21">
    <w:abstractNumId w:val="9"/>
  </w:num>
  <w:num w:numId="22">
    <w:abstractNumId w:val="23"/>
  </w:num>
  <w:num w:numId="23">
    <w:abstractNumId w:val="15"/>
  </w:num>
  <w:num w:numId="24">
    <w:abstractNumId w:val="21"/>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34CA"/>
    <w:rsid w:val="000C4734"/>
    <w:rsid w:val="000E5439"/>
    <w:rsid w:val="000F055D"/>
    <w:rsid w:val="000F6D81"/>
    <w:rsid w:val="001065EF"/>
    <w:rsid w:val="00116021"/>
    <w:rsid w:val="00123D39"/>
    <w:rsid w:val="001273AA"/>
    <w:rsid w:val="0013183A"/>
    <w:rsid w:val="0017379F"/>
    <w:rsid w:val="00176FA2"/>
    <w:rsid w:val="00196622"/>
    <w:rsid w:val="001D4D26"/>
    <w:rsid w:val="00212CD2"/>
    <w:rsid w:val="00236AFB"/>
    <w:rsid w:val="002622B4"/>
    <w:rsid w:val="0027670D"/>
    <w:rsid w:val="002771E7"/>
    <w:rsid w:val="002775DA"/>
    <w:rsid w:val="002B231E"/>
    <w:rsid w:val="002B2997"/>
    <w:rsid w:val="00315315"/>
    <w:rsid w:val="003259C1"/>
    <w:rsid w:val="00327E84"/>
    <w:rsid w:val="003467F7"/>
    <w:rsid w:val="00372817"/>
    <w:rsid w:val="00391BD9"/>
    <w:rsid w:val="0039464E"/>
    <w:rsid w:val="003A7F8F"/>
    <w:rsid w:val="003B03E7"/>
    <w:rsid w:val="003C443A"/>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85AD8"/>
    <w:rsid w:val="006902EC"/>
    <w:rsid w:val="00693F55"/>
    <w:rsid w:val="0069515D"/>
    <w:rsid w:val="006A21B3"/>
    <w:rsid w:val="006C1585"/>
    <w:rsid w:val="006E55AE"/>
    <w:rsid w:val="006F424B"/>
    <w:rsid w:val="007120AA"/>
    <w:rsid w:val="00725885"/>
    <w:rsid w:val="007458EE"/>
    <w:rsid w:val="0077381D"/>
    <w:rsid w:val="00795EE4"/>
    <w:rsid w:val="0082567A"/>
    <w:rsid w:val="00843F2D"/>
    <w:rsid w:val="008D4241"/>
    <w:rsid w:val="008F4041"/>
    <w:rsid w:val="009317D4"/>
    <w:rsid w:val="00945564"/>
    <w:rsid w:val="009456AE"/>
    <w:rsid w:val="00945EC4"/>
    <w:rsid w:val="00983C52"/>
    <w:rsid w:val="0098786B"/>
    <w:rsid w:val="009936CC"/>
    <w:rsid w:val="009C176B"/>
    <w:rsid w:val="009C4F8B"/>
    <w:rsid w:val="009E21F9"/>
    <w:rsid w:val="00A02208"/>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63210"/>
    <w:rsid w:val="00B6771B"/>
    <w:rsid w:val="00B90FE5"/>
    <w:rsid w:val="00B97BAB"/>
    <w:rsid w:val="00BA3634"/>
    <w:rsid w:val="00BD575C"/>
    <w:rsid w:val="00C021B4"/>
    <w:rsid w:val="00C3339A"/>
    <w:rsid w:val="00C4434C"/>
    <w:rsid w:val="00C73F8D"/>
    <w:rsid w:val="00C96667"/>
    <w:rsid w:val="00CD2D00"/>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E3AD3"/>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10014</Words>
  <Characters>57085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31</cp:revision>
  <cp:lastPrinted>2025-06-30T04:34:00Z</cp:lastPrinted>
  <dcterms:created xsi:type="dcterms:W3CDTF">2022-02-15T13:02:00Z</dcterms:created>
  <dcterms:modified xsi:type="dcterms:W3CDTF">2025-11-14T07:00:00Z</dcterms:modified>
</cp:coreProperties>
</file>