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7D4C88" w:rsidRPr="006A24E5" w:rsidRDefault="007D4C88" w:rsidP="007D4C88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A24E5">
        <w:rPr>
          <w:rFonts w:ascii="Times New Roman" w:hAnsi="Times New Roman"/>
          <w:sz w:val="24"/>
          <w:szCs w:val="24"/>
        </w:rPr>
        <w:t>На выполнение ремонтно-восстановительных работ по замене основания и нанесени</w:t>
      </w:r>
      <w:r>
        <w:rPr>
          <w:rFonts w:ascii="Times New Roman" w:hAnsi="Times New Roman"/>
          <w:sz w:val="24"/>
          <w:szCs w:val="24"/>
        </w:rPr>
        <w:t>ю</w:t>
      </w:r>
      <w:r w:rsidRPr="006A24E5">
        <w:rPr>
          <w:rFonts w:ascii="Times New Roman" w:hAnsi="Times New Roman"/>
          <w:sz w:val="24"/>
          <w:szCs w:val="24"/>
        </w:rPr>
        <w:t xml:space="preserve"> АКЗ на </w:t>
      </w:r>
      <w:r>
        <w:rPr>
          <w:rFonts w:ascii="Times New Roman" w:hAnsi="Times New Roman"/>
          <w:sz w:val="24"/>
          <w:szCs w:val="24"/>
        </w:rPr>
        <w:t>внутреннюю поверхность</w:t>
      </w:r>
      <w:r w:rsidRPr="006A24E5">
        <w:rPr>
          <w:rFonts w:ascii="Times New Roman" w:hAnsi="Times New Roman"/>
          <w:sz w:val="24"/>
          <w:szCs w:val="24"/>
        </w:rPr>
        <w:t xml:space="preserve"> резервуар</w:t>
      </w:r>
      <w:r>
        <w:rPr>
          <w:rFonts w:ascii="Times New Roman" w:hAnsi="Times New Roman"/>
          <w:sz w:val="24"/>
          <w:szCs w:val="24"/>
        </w:rPr>
        <w:t>а</w:t>
      </w:r>
      <w:r w:rsidRPr="006A24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противопожарного запаса воды</w:t>
      </w:r>
      <w:r w:rsidRPr="006A24E5">
        <w:rPr>
          <w:rFonts w:ascii="Times New Roman" w:hAnsi="Times New Roman"/>
          <w:sz w:val="24"/>
          <w:szCs w:val="24"/>
        </w:rPr>
        <w:t xml:space="preserve"> V=</w:t>
      </w:r>
      <w:r>
        <w:rPr>
          <w:rFonts w:ascii="Times New Roman" w:hAnsi="Times New Roman"/>
          <w:sz w:val="24"/>
          <w:szCs w:val="24"/>
        </w:rPr>
        <w:t>1281 м3</w:t>
      </w:r>
      <w:r w:rsidRPr="006A24E5">
        <w:rPr>
          <w:rFonts w:ascii="Times New Roman" w:hAnsi="Times New Roman"/>
          <w:sz w:val="24"/>
          <w:szCs w:val="24"/>
        </w:rPr>
        <w:t xml:space="preserve"> (Лит.Р</w:t>
      </w:r>
      <w:r>
        <w:rPr>
          <w:rFonts w:ascii="Times New Roman" w:hAnsi="Times New Roman"/>
          <w:sz w:val="24"/>
          <w:szCs w:val="24"/>
        </w:rPr>
        <w:t>84</w:t>
      </w:r>
      <w:r w:rsidRPr="006A24E5">
        <w:rPr>
          <w:rFonts w:ascii="Times New Roman" w:hAnsi="Times New Roman"/>
          <w:sz w:val="24"/>
          <w:szCs w:val="24"/>
        </w:rPr>
        <w:t>) (А</w:t>
      </w:r>
      <w:r>
        <w:rPr>
          <w:rFonts w:ascii="Times New Roman" w:hAnsi="Times New Roman"/>
          <w:sz w:val="24"/>
          <w:szCs w:val="24"/>
        </w:rPr>
        <w:t>36</w:t>
      </w:r>
      <w:r w:rsidRPr="006A24E5">
        <w:rPr>
          <w:rFonts w:ascii="Times New Roman" w:hAnsi="Times New Roman"/>
          <w:sz w:val="24"/>
          <w:szCs w:val="24"/>
        </w:rPr>
        <w:t>) сооруж.</w:t>
      </w:r>
      <w:r>
        <w:rPr>
          <w:rFonts w:ascii="Times New Roman" w:hAnsi="Times New Roman"/>
          <w:sz w:val="24"/>
          <w:szCs w:val="24"/>
        </w:rPr>
        <w:t>74</w:t>
      </w:r>
      <w:r w:rsidRPr="006A24E5">
        <w:rPr>
          <w:rFonts w:ascii="Times New Roman" w:hAnsi="Times New Roman"/>
          <w:sz w:val="24"/>
          <w:szCs w:val="24"/>
        </w:rPr>
        <w:t xml:space="preserve"> (2очередь) (Р0</w:t>
      </w:r>
      <w:r>
        <w:rPr>
          <w:rFonts w:ascii="Times New Roman" w:hAnsi="Times New Roman"/>
          <w:sz w:val="24"/>
          <w:szCs w:val="24"/>
        </w:rPr>
        <w:t>4549</w:t>
      </w:r>
      <w:r w:rsidRPr="006A24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цеха ВИВ№5 филиала ООО «</w:t>
      </w:r>
      <w:r w:rsidRPr="003A7461">
        <w:rPr>
          <w:sz w:val="24"/>
          <w:szCs w:val="24"/>
        </w:rPr>
        <w:t>РУСИНВЕСТ</w:t>
      </w:r>
      <w:r>
        <w:rPr>
          <w:rFonts w:ascii="Times New Roman" w:hAnsi="Times New Roman"/>
          <w:sz w:val="24"/>
          <w:szCs w:val="24"/>
        </w:rPr>
        <w:t>»-«ТНПЗ».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7D4C88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7D4C88" w:rsidRPr="001C5CE5" w:rsidTr="007776E3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7D4C88" w:rsidRPr="001C5CE5" w:rsidTr="007776E3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7D4C88" w:rsidRPr="001C5CE5" w:rsidTr="007776E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625047, Российская Федерация, Тюменская область, г. Тюмень, ул. 6 км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Старого 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обольского тракта 20</w:t>
            </w:r>
          </w:p>
        </w:tc>
      </w:tr>
      <w:tr w:rsidR="007D4C88" w:rsidRPr="001C5CE5" w:rsidTr="007776E3">
        <w:trPr>
          <w:trHeight w:val="6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 Дефектные ведомости по восстановлению антикоррозионной защиты;</w:t>
            </w:r>
          </w:p>
          <w:p w:rsidR="007D4C88" w:rsidRPr="00F071B4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 Технологическая карта ТК№11-2023-1-А36-АС «Замена днища резервуара».</w:t>
            </w:r>
          </w:p>
        </w:tc>
      </w:tr>
      <w:tr w:rsidR="007D4C88" w:rsidRPr="001C5CE5" w:rsidTr="007776E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011BD9" w:rsidRDefault="007D4C88" w:rsidP="007776E3">
            <w:pPr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Локально-сметные расчеты;</w:t>
            </w:r>
          </w:p>
        </w:tc>
      </w:tr>
      <w:tr w:rsidR="007D4C88" w:rsidRPr="001C5CE5" w:rsidTr="007776E3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FB7DCF" w:rsidRDefault="007D4C88" w:rsidP="007776E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D4C88" w:rsidRPr="001C5CE5" w:rsidTr="007776E3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tabs>
                <w:tab w:val="left" w:pos="200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3.1 Определяется конкурсной комиссией</w:t>
            </w:r>
          </w:p>
        </w:tc>
      </w:tr>
      <w:tr w:rsidR="007D4C88" w:rsidRPr="001C5CE5" w:rsidTr="007776E3">
        <w:trPr>
          <w:trHeight w:val="8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E73181" w:rsidRDefault="007D4C88" w:rsidP="007776E3">
            <w:pPr>
              <w:rPr>
                <w:rFonts w:ascii="Times New Roman" w:hAnsi="Times New Roman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площадки 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сных производственных объектов. Производственное здание фильтров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102-02 </w:t>
            </w:r>
            <w:r>
              <w:rPr>
                <w:rFonts w:ascii="Times New Roman" w:hAnsi="Times New Roman"/>
                <w:sz w:val="24"/>
                <w:szCs w:val="24"/>
              </w:rPr>
              <w:t>очистные сооружения.</w:t>
            </w:r>
          </w:p>
        </w:tc>
      </w:tr>
      <w:tr w:rsidR="007D4C88" w:rsidRPr="001C5CE5" w:rsidTr="007776E3">
        <w:trPr>
          <w:trHeight w:val="6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E8338A" w:rsidRDefault="007D4C88" w:rsidP="007776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 Р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езервуар </w:t>
            </w:r>
            <w:r>
              <w:rPr>
                <w:rFonts w:ascii="Times New Roman" w:hAnsi="Times New Roman"/>
                <w:sz w:val="24"/>
                <w:szCs w:val="24"/>
              </w:rPr>
              <w:t>противопожарного запаса воды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V=</w:t>
            </w:r>
            <w:r>
              <w:rPr>
                <w:rFonts w:ascii="Times New Roman" w:hAnsi="Times New Roman"/>
                <w:sz w:val="24"/>
                <w:szCs w:val="24"/>
              </w:rPr>
              <w:t>1281м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3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8338A">
              <w:rPr>
                <w:rFonts w:ascii="Times New Roman" w:hAnsi="Times New Roman"/>
                <w:sz w:val="24"/>
                <w:szCs w:val="24"/>
              </w:rPr>
              <w:t>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хранимый продукт – </w:t>
            </w:r>
            <w:r w:rsidRPr="0078203B">
              <w:rPr>
                <w:rFonts w:ascii="Times New Roman" w:hAnsi="Times New Roman"/>
                <w:sz w:val="24"/>
                <w:szCs w:val="24"/>
                <w:u w:val="single"/>
              </w:rPr>
              <w:t>техническая вода,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температура хранения +3 - +50°С</w:t>
            </w:r>
          </w:p>
        </w:tc>
      </w:tr>
      <w:tr w:rsidR="007D4C88" w:rsidRPr="001C5CE5" w:rsidTr="007776E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 Июнь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- Сентябрь 2023 г.</w:t>
            </w:r>
          </w:p>
        </w:tc>
      </w:tr>
      <w:tr w:rsidR="007D4C88" w:rsidRPr="001C5CE5" w:rsidTr="007776E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технического предложения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технической части ТКП предоставить: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 График выполнения работ по объекту;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 Используемый материал для восстановления АКЗ;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 Предоставление референс-листа (информацию по организации и проведению аналогичной работы).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 Информацию о составе и квалификации персонала в соответствии с п. 10 данного технического задания;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 Сведения об оборудовании и материалах, используемом при выполнении работ (выписка из балансового отчета о наличии собственного оборудования или договор аренды на оборудование, используемого для выполнения работ, фотографии оборудования).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4C88" w:rsidRPr="001C5CE5" w:rsidTr="007776E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ентацию на электрооборудование.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обеспечивает наличие биотуалета на производственной площадке.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работ на высоте, </w:t>
            </w:r>
            <w:r w:rsidRPr="000C7A42">
              <w:rPr>
                <w:rFonts w:ascii="Times New Roman" w:hAnsi="Times New Roman"/>
                <w:color w:val="000000"/>
                <w:sz w:val="24"/>
                <w:szCs w:val="24"/>
              </w:rPr>
              <w:t>правила и навыки владения инструментом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выполнения ремонтных работ имеющимся в наличии у Подрядчика;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особо опасных, технически сложных и уникальных объектов капитального строительства (кроме объектов использования атомной энергии)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D4C88" w:rsidRDefault="007D4C88" w:rsidP="007776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8.8 Наличие у Подрядной организации аттестации технологии сварки группы технических устройств: ОХНВП (свидетельство НАКС) в соответствии с требованиями </w:t>
            </w:r>
            <w:r w:rsidRPr="00AE5CA2">
              <w:rPr>
                <w:rFonts w:ascii="Times New Roman" w:hAnsi="Times New Roman"/>
                <w:sz w:val="24"/>
                <w:szCs w:val="24"/>
              </w:rPr>
              <w:t>РД 03-615-03.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8.9 Наличие у Подрядной организации аттестованного сварочного оборудования (свидетельство НАКС) в соответствии с требованиями </w:t>
            </w:r>
            <w:r w:rsidRPr="00AE5CA2">
              <w:rPr>
                <w:rFonts w:ascii="Times New Roman" w:hAnsi="Times New Roman"/>
                <w:sz w:val="24"/>
                <w:szCs w:val="24"/>
              </w:rPr>
              <w:t>РД 03-61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E5CA2">
              <w:rPr>
                <w:rFonts w:ascii="Times New Roman" w:hAnsi="Times New Roman"/>
                <w:sz w:val="24"/>
                <w:szCs w:val="24"/>
              </w:rPr>
              <w:t>-03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8.10 Наличие у Подрядной организации аттестованных сварщиков (свидетельство НАКС).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материалы и трудозатраты, образовавшиеся в результате выполнения работ, необходимы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замене днища в соответствии с тех. картой и 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нанесению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антикоррозионного лакокрасочного покрытия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полном объеме и не вошедшие в технико-коммерческое предложение, Подрядчик полностью берет на себя.</w:t>
            </w:r>
          </w:p>
        </w:tc>
      </w:tr>
      <w:tr w:rsidR="007D4C88" w:rsidRPr="001C5CE5" w:rsidTr="007776E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лет.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9.3 Наличие оборудования необходимого для выполнения всего объема работ в соответствии с утвержденным графиком и периодом выполнения работ: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наличие воздушных компрессоров с рабочим давлением в 10 бар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абразивоструйные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поршневые безвоздушные покрасочные аппараты с производительностью необходимому для нанесения АКЗ.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альпинистское снаряжение с аттестованным персоналом.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строительные леса в объеме необходимым для выполнения всего объема работ.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наличие аттестованного сварочного оборудования.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приспособления и оснастка необходимая для замены днища резервуара.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 Подрядчик должен выполнить все работы, относящиеся к подготовке поверхности, нанесению имеющегося грунтовочного покрытия, финишного покрытия в соответствии с утвержденной системой ЛКП.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9.6 Подрядная организация должна иметь опыт работы по нанесению АКЗ объектов нефти- газопереработке и добыче.</w:t>
            </w:r>
          </w:p>
        </w:tc>
      </w:tr>
      <w:tr w:rsidR="007D4C88" w:rsidRPr="001C5CE5" w:rsidTr="007776E3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обучения по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охране труда,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пожарной безопасности, обучения безопасным методам и приемам выполнения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на высоте, электробезопасности, обеспечение работников полным комплектом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антистатическими свойствами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каска защитная с подбородочным ремешком,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противогаз, перчатки, защитные очки).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10.3</w:t>
            </w:r>
            <w:r w:rsidRPr="00DA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несёт полную ответственность за безопасное производство работ и соблюдение требований охраны труда, промыш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ленной и пожарной безопасности.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квалифицированного и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ттестованного кадрового состава с обязательным наличием: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проверке знаний требований охраны труда;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стропальщика;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об обучении безопасным методам и приемам выполнения работ на высоте;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допуске в электроустановках с присвоением соответствующей группы допуска;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удостоверения о прохождении пожарной безопасности в соответствии с приказом МЧС России №806 от 18.11.2021;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D90597">
              <w:rPr>
                <w:rFonts w:ascii="Times New Roman" w:hAnsi="Times New Roman"/>
                <w:sz w:val="24"/>
                <w:szCs w:val="24"/>
              </w:rPr>
              <w:t>аттестации в Ростехнадзоре персонала в области промышленной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D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ответственных лиц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7D4C88" w:rsidRPr="00D90597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Общие требования промышленной безопасности - А1.</w:t>
            </w:r>
          </w:p>
          <w:p w:rsidR="007D4C88" w:rsidRPr="00D90597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работающего под избыточным давлением), газоопасные работы – области Б1.11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>- Работы с применением подъёмных сооружений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(ПС)</w:t>
            </w:r>
            <w:r w:rsidRPr="00D90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Б9.3, Б9.4.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Требования к ПС: Свидетельство о регистрации в ОПО, полис страхования ОПО, техническое освидетельствование ПС, Приказ о назначении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ответственных за осуществление производственного контроля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содержание ПС в работоспособном состоянии;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41F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 за безопасное производство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бот, удостоверение и протоколы проверки знаний машиниста ПС.</w:t>
            </w:r>
          </w:p>
        </w:tc>
      </w:tr>
      <w:tr w:rsidR="007D4C88" w:rsidRPr="001C5CE5" w:rsidTr="007776E3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D678A">
              <w:rPr>
                <w:rFonts w:ascii="Times New Roman" w:hAnsi="Times New Roman"/>
                <w:sz w:val="24"/>
                <w:szCs w:val="24"/>
              </w:rPr>
              <w:t>. Общая площадь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нанесения антикоррозионного покрытия </w:t>
            </w:r>
          </w:p>
          <w:p w:rsidR="007D4C88" w:rsidRPr="001A520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622 м2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дефектным ведомостям по нанесению АКЗ, а также по замене днища в соответствии с технологической картой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ТК№11-2023-1-А36-АС.</w:t>
            </w:r>
          </w:p>
        </w:tc>
      </w:tr>
      <w:tr w:rsidR="007D4C88" w:rsidRPr="001C5CE5" w:rsidTr="007776E3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Предварительный этап </w:t>
            </w:r>
            <w:r w:rsidRPr="004725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предоставления технико-коммерческого предложения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нанесению АКЗ и замене основания на резервуаре ВР-5)</w:t>
            </w:r>
          </w:p>
        </w:tc>
      </w:tr>
      <w:tr w:rsidR="007D4C88" w:rsidRPr="001C5CE5" w:rsidTr="007776E3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вести осмотр места проведения работ с целью опреде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ления необходимого оборудования,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таря, временных точек подключения к электрическим сетям заказчика, места хранения материалов и т.д. для выполнения объема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D4C88" w:rsidRPr="001C5CE5" w:rsidTr="007776E3">
        <w:trPr>
          <w:trHeight w:val="30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</w:tr>
      <w:tr w:rsidR="007D4C88" w:rsidRPr="001C5CE5" w:rsidTr="007776E3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7D4C88" w:rsidRPr="001C5CE5" w:rsidTr="007776E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«РУСИНВЕСТ»-«ТНПЗ»;</w:t>
            </w:r>
          </w:p>
        </w:tc>
      </w:tr>
      <w:tr w:rsidR="007D4C88" w:rsidRPr="001C5CE5" w:rsidTr="007776E3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схемы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площадок с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 оборудования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D4C88" w:rsidRPr="001C5CE5" w:rsidTr="007776E3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 и согласование с заказчиком графика выполнения работ;</w:t>
            </w:r>
          </w:p>
        </w:tc>
      </w:tr>
      <w:tr w:rsidR="007D4C88" w:rsidRPr="001C5CE5" w:rsidTr="007776E3">
        <w:trPr>
          <w:trHeight w:val="96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согласование с заказчиком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началом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 производства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На 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замене основания и нанесению антикоррозионного покрытия на резервуаре ВР-5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</w:tc>
      </w:tr>
      <w:tr w:rsidR="007D4C88" w:rsidRPr="001C5CE5" w:rsidTr="007776E3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553D2C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закупа МТР, необходимых для 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A2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замене основания и нанесению антикоррозионного покрытия </w:t>
            </w:r>
            <w:r w:rsidRPr="0029049C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дефектным ведомостям и технологической картой,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заказчиком;</w:t>
            </w:r>
          </w:p>
        </w:tc>
      </w:tr>
      <w:tr w:rsidR="007D4C88" w:rsidRPr="001C5CE5" w:rsidTr="007776E3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11.2.4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места хранения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абразивного и лакокрасочного материала согласно требований противопожарного режима на взрывопожароопасном предприятии.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вагон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городка для персонала с обеспечением всеми необходимыми ресурсами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4C88" w:rsidRPr="001C5CE5" w:rsidTr="007776E3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Default="007D4C88" w:rsidP="007776E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11.3 </w:t>
            </w:r>
            <w:r w:rsidRPr="004A2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.3.1</w:t>
            </w:r>
            <w:r w:rsidRPr="003B2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замене центральной части днища и АКЗ внутренней поверхности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Ввоз оборудования и материалов в объеме необходимом для выполнения работ на обрабатываемом участке.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перед началом работ</w:t>
            </w:r>
            <w:r w:rsidRPr="007F4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подключение переносного электрического оборудования и инструментов, необходимых для выполнения работ, к электрическим сетям Заказчика по ранее согласованной схеме подключения.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тепловой изоляции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устройство монтажного проема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демонтаж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теплоспутников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подводящего трубопровода.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днища резервуара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устройство гидрофобного слоя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монтаж нового днища резервуара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контроля качества сварных соединений в 100% объеме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монтаж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теплоспутников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подводящего трубопровода.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монтаж проема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монтаж строительных лесов</w:t>
            </w:r>
          </w:p>
        </w:tc>
      </w:tr>
      <w:tr w:rsidR="007D4C88" w:rsidRPr="001C5CE5" w:rsidTr="007776E3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>одготовку поверхностей под окраску абразивн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струйн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очистк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о степени очистки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345FB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345FB">
              <w:rPr>
                <w:rFonts w:ascii="Times New Roman" w:hAnsi="Times New Roman"/>
                <w:sz w:val="24"/>
                <w:szCs w:val="24"/>
              </w:rPr>
              <w:t xml:space="preserve"> 8501-1:2007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сбор отработанного абразивного материала и мусора на участке проведения работ и прилегающей территории при необходимости и вывоз с территории предприятия.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обеспыливание и обезжиривание обработанной поверхности.</w:t>
            </w:r>
          </w:p>
          <w:p w:rsidR="007D4C88" w:rsidRPr="0046731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нанесение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толщиной в соответствии с дефектными ведомостями или технической документации на применяемый ЛКМ. Объемная доля нелетучих веществ готовой смеси ЛКП должна составлять 100±3%.</w:t>
            </w:r>
          </w:p>
          <w:p w:rsidR="007D4C88" w:rsidRPr="002B6E1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 каждый этап выполненных работ составляется акт освидетельствования скрытых работ и предъявляется заказчику для подтверждения объемов работ.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демонтаж строительных лесов.</w:t>
            </w:r>
          </w:p>
        </w:tc>
      </w:tr>
      <w:tr w:rsidR="007D4C88" w:rsidRPr="001C5CE5" w:rsidTr="007776E3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Default="007D4C88" w:rsidP="007776E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11.4 </w:t>
            </w:r>
            <w:r w:rsidRPr="00467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Контрольный этап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467315">
              <w:rPr>
                <w:rFonts w:ascii="Times New Roman" w:hAnsi="Times New Roman"/>
                <w:color w:val="000000"/>
                <w:sz w:val="24"/>
                <w:szCs w:val="24"/>
              </w:rPr>
              <w:t>.4.1 Приемка выполненных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D4C88" w:rsidRPr="0094079E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качества нанесения </w:t>
            </w:r>
            <w:r>
              <w:rPr>
                <w:rFonts w:ascii="Times New Roman" w:hAnsi="Times New Roman"/>
                <w:sz w:val="24"/>
                <w:szCs w:val="24"/>
              </w:rPr>
              <w:t>антикоррозионного покрытия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каждом этапе производится путем выборочного измерения толщины сухого слоя покрытия, а также выборочного измерения адгезии методом отрыва по ГОСТ 32299-2013.</w:t>
            </w:r>
          </w:p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</w:tc>
      </w:tr>
      <w:tr w:rsidR="007D4C88" w:rsidRPr="001C5CE5" w:rsidTr="007776E3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Заключительный этап </w:t>
            </w:r>
          </w:p>
        </w:tc>
      </w:tr>
      <w:tr w:rsidR="007D4C88" w:rsidRPr="001C5CE5" w:rsidTr="007776E3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</w:t>
            </w:r>
            <w:r w:rsidRPr="001C5C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исполнительной технической документации, в соответствии с требованиями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РД-11-02-2006 на основании приказа Ростехнадзора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26 декабря 2006 г. N 1128,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D4C88" w:rsidRPr="001C5CE5" w:rsidTr="007776E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дача исполнительной документации заказчику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2-х экземплярах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D4C88" w:rsidRPr="001C5CE5" w:rsidTr="007776E3">
        <w:trPr>
          <w:trHeight w:val="7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286ECB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D4C88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A2D15">
              <w:rPr>
                <w:rFonts w:ascii="Times New Roman" w:hAnsi="Times New Roman"/>
                <w:sz w:val="24"/>
                <w:szCs w:val="24"/>
              </w:rPr>
              <w:t>.1</w:t>
            </w:r>
            <w:r w:rsidRPr="004A2D1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ЛКМ </w:t>
            </w:r>
            <w:r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A687C">
              <w:rPr>
                <w:rFonts w:ascii="Times New Roman" w:hAnsi="Times New Roman"/>
                <w:sz w:val="24"/>
                <w:szCs w:val="24"/>
              </w:rPr>
              <w:t xml:space="preserve"> (НД) или технической документации (ТД) на ЛКМ конкретной марки, по рецептуре и технологическому регламенту, утвержденным в установленном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 Возможность применения лакокрасочных материалов в системе покрытий, для резервуаров и емкостей в соответствии с хранимыми продуктам, должна быть подтверждена заключением/протоколом испытаний по ГОСТ 9.401-2018, выданный аккредитованной лабораторией.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 Прогнозируемый срок службы антикоррозионного покрытия должен составлять не менее 10 лет.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 Материалы, входящие в состав комплексной системы лакокрасочного покрытия, включая грунтовочный и финишный слои должны быть одного производителя для соблюдения гарантийных обязательств.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12.5 Антикоррозионное лакокрасочное покрытие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ремонтопригодными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4C88" w:rsidRPr="004A2D15" w:rsidRDefault="007D4C88" w:rsidP="00777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12.6 </w:t>
            </w:r>
            <w:r w:rsidRPr="004A2D15">
              <w:rPr>
                <w:rFonts w:ascii="Times New Roman" w:hAnsi="Times New Roman"/>
                <w:sz w:val="24"/>
                <w:szCs w:val="24"/>
              </w:rPr>
              <w:t>Металлоконструкции, применяемые для выполнения ремонтных работ должны соответствовать ГОСТ 23118-2012 «Конструкции стальные строительные».</w:t>
            </w:r>
          </w:p>
        </w:tc>
      </w:tr>
      <w:tr w:rsidR="007D4C88" w:rsidRPr="001C5CE5" w:rsidTr="007776E3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78203B" w:rsidRDefault="007D4C88" w:rsidP="007776E3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 Июнь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- Сентябрь 2023 г. в соответствии с график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8203B">
              <w:rPr>
                <w:rFonts w:ascii="Times New Roman" w:hAnsi="Times New Roman"/>
                <w:sz w:val="24"/>
                <w:szCs w:val="24"/>
              </w:rPr>
              <w:t xml:space="preserve"> выполнения работ согласованным с Заказчиком</w:t>
            </w:r>
          </w:p>
        </w:tc>
      </w:tr>
      <w:tr w:rsidR="007D4C88" w:rsidRPr="001C5CE5" w:rsidTr="007776E3">
        <w:trPr>
          <w:trHeight w:val="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утилизируются в рамках его собственной разрешительной документации.</w:t>
            </w:r>
          </w:p>
        </w:tc>
      </w:tr>
      <w:tr w:rsidR="007D4C88" w:rsidRPr="001C5CE5" w:rsidTr="007776E3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7D4C88" w:rsidRPr="001C5CE5" w:rsidTr="007776E3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7D4C88" w:rsidRPr="001C5CE5" w:rsidTr="007776E3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7D4C88" w:rsidRPr="001C5CE5" w:rsidTr="007776E3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7D4C88" w:rsidRPr="001C5CE5" w:rsidTr="007776E3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отставания от графика выполнения работ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 с Заказчиком мобилизовать необходимые ресурсы.</w:t>
            </w:r>
          </w:p>
        </w:tc>
      </w:tr>
      <w:tr w:rsidR="007D4C88" w:rsidRPr="001C5CE5" w:rsidTr="007776E3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нанесению антикоррозионного лакокрасочного покрытия - 2 года</w:t>
            </w:r>
            <w:r w:rsidRPr="00F8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4C88" w:rsidRPr="001C5CE5" w:rsidTr="007776E3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гарантийного срока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дату подписания акта выполненных работ,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сдача исполнительной документации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D4C88" w:rsidRPr="00D062AF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4C88" w:rsidRPr="001C5CE5" w:rsidTr="007776E3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 Подрядчик несет полную ответственность за причинённый ущерб.</w:t>
            </w:r>
          </w:p>
        </w:tc>
      </w:tr>
      <w:tr w:rsidR="007D4C88" w:rsidRPr="001C5CE5" w:rsidTr="007776E3">
        <w:trPr>
          <w:trHeight w:val="11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7D4C88" w:rsidRPr="001C5CE5" w:rsidTr="007776E3">
        <w:trPr>
          <w:trHeight w:val="8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7D4C88" w:rsidRPr="001C5CE5" w:rsidTr="007776E3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.2008г. «Технический регламент о требованиях пожарной безопасности».</w:t>
            </w:r>
          </w:p>
        </w:tc>
      </w:tr>
      <w:tr w:rsidR="007D4C88" w:rsidRPr="001C5CE5" w:rsidTr="007776E3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4655A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17.4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ГОСТ9.401-2018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D4C88" w:rsidRPr="001C5CE5" w:rsidTr="007776E3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ГОСТ 9.402-2004 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Единая система защиты от коррозии и старения. Покрытия лакокрасочные. Подготовка металлических поверхностей перед окрашиванием;</w:t>
            </w:r>
          </w:p>
        </w:tc>
      </w:tr>
      <w:tr w:rsidR="007D4C88" w:rsidRPr="001C5CE5" w:rsidTr="007776E3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17.6 М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атериалы лакокрасочные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приемки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D4C88" w:rsidRPr="004C4167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9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0.1-8</w:t>
            </w:r>
            <w:r w:rsidRPr="003B62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C416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7D4C88" w:rsidRPr="001C5CE5" w:rsidTr="007776E3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17.7 Приказ Министерства труда и социальной защиты РФ №883н от 11.12.2020 года «Об утверждении Правил по охране труда при строительстве, реконструкции и ремонте».</w:t>
            </w:r>
          </w:p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17.8 Приказ Министерства труда и социальной защиты РФ №782н от 1</w:t>
            </w:r>
            <w:r w:rsidRPr="002422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.11.2020 года «Об утверждении Правил по охране труда при работе на высоте».</w:t>
            </w:r>
          </w:p>
        </w:tc>
      </w:tr>
      <w:tr w:rsidR="007D4C88" w:rsidRPr="001C5CE5" w:rsidTr="007776E3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88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17.9 ПБЭ НП 2001 «Правила безопасной эксплуатации и охраны труда для нефтеперерабатывающих производств».</w:t>
            </w:r>
          </w:p>
        </w:tc>
      </w:tr>
      <w:tr w:rsidR="007D4C88" w:rsidRPr="001C5CE5" w:rsidTr="007776E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C88" w:rsidRPr="004655A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4C88" w:rsidRPr="001C5CE5" w:rsidTr="007776E3">
        <w:trPr>
          <w:trHeight w:val="20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17.10 ПУЭ-7. Правила устройства электроустановок.</w:t>
            </w:r>
          </w:p>
          <w:p w:rsidR="007D4C88" w:rsidRDefault="007D4C88" w:rsidP="007776E3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17.11</w:t>
            </w:r>
            <w:r w:rsidRPr="004655A3">
              <w:rPr>
                <w:color w:val="000000"/>
                <w:lang w:val="ru-RU" w:eastAsia="ru-RU"/>
              </w:rPr>
              <w:t xml:space="preserve"> Постановление правительства на №1479 от 16.09.2020 «Об утверждении Правил противопожарного режима в Российской Федерации</w:t>
            </w:r>
            <w:r>
              <w:rPr>
                <w:color w:val="000000"/>
                <w:lang w:val="ru-RU" w:eastAsia="ru-RU"/>
              </w:rPr>
              <w:t>».</w:t>
            </w:r>
          </w:p>
          <w:p w:rsidR="007D4C88" w:rsidRDefault="007D4C88" w:rsidP="007776E3">
            <w:pPr>
              <w:pStyle w:val="2"/>
              <w:shd w:val="clear" w:color="auto" w:fill="FFFFFF"/>
              <w:spacing w:line="300" w:lineRule="atLeast"/>
              <w:rPr>
                <w:color w:val="000000"/>
                <w:lang w:val="ru-RU" w:eastAsia="ru-RU"/>
              </w:rPr>
            </w:pPr>
            <w:r w:rsidRPr="004655A3">
              <w:rPr>
                <w:color w:val="000000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>7</w:t>
            </w:r>
            <w:r w:rsidRPr="004655A3">
              <w:rPr>
                <w:color w:val="000000"/>
                <w:lang w:val="ru-RU" w:eastAsia="ru-RU"/>
              </w:rPr>
              <w:t>.12 РД 11-02-2006 «Требования к составу и порядку ведения исполнительной документации».</w:t>
            </w:r>
          </w:p>
          <w:p w:rsidR="007D4C88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E74">
              <w:rPr>
                <w:rFonts w:ascii="Times New Roman" w:hAnsi="Times New Roman"/>
                <w:color w:val="000000"/>
                <w:sz w:val="24"/>
                <w:szCs w:val="24"/>
              </w:rPr>
              <w:t>17.13</w:t>
            </w:r>
            <w:r>
              <w:t xml:space="preserve"> </w:t>
            </w:r>
            <w:r w:rsidRPr="00D10CB9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0CB9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эксплуатации резервуаров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0CB9">
              <w:rPr>
                <w:rFonts w:ascii="Times New Roman" w:hAnsi="Times New Roman"/>
                <w:color w:val="000000"/>
                <w:sz w:val="24"/>
                <w:szCs w:val="24"/>
              </w:rPr>
              <w:t>и инструкции по их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Часть 2. </w:t>
            </w:r>
            <w:r w:rsidRPr="00D10CB9">
              <w:rPr>
                <w:rFonts w:ascii="Times New Roman" w:hAnsi="Times New Roman"/>
                <w:color w:val="000000"/>
                <w:sz w:val="24"/>
                <w:szCs w:val="24"/>
              </w:rPr>
              <w:t>М.: "Недра", 1988</w:t>
            </w:r>
          </w:p>
          <w:p w:rsidR="007D4C88" w:rsidRPr="009B0E74" w:rsidRDefault="007D4C88" w:rsidP="007776E3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17.14 СП 16 13330 2017 «Стальные конструкции».</w:t>
            </w:r>
          </w:p>
        </w:tc>
      </w:tr>
      <w:tr w:rsidR="007D4C88" w:rsidRPr="001C5CE5" w:rsidTr="007776E3">
        <w:trPr>
          <w:trHeight w:val="76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4C88" w:rsidRPr="004655A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 На все работы разработаны локально-сметные расчеты (ЛСР) согласно утверждённых дефектных ведомостей и технологических карт. </w:t>
            </w:r>
          </w:p>
        </w:tc>
      </w:tr>
      <w:tr w:rsidR="007D4C88" w:rsidRPr="001C5CE5" w:rsidTr="007776E3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4C88" w:rsidRPr="004655A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18.2 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7D4C88" w:rsidRPr="001C5CE5" w:rsidTr="007776E3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4C88" w:rsidRPr="004655A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18.3 Индексы пересчета цен 2001г в текущие цены принимается на основании технико-коммерческого предложения Подрядчика.</w:t>
            </w:r>
          </w:p>
        </w:tc>
      </w:tr>
      <w:tr w:rsidR="007D4C88" w:rsidRPr="001C5CE5" w:rsidTr="007776E3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C88" w:rsidRPr="001C5CE5" w:rsidRDefault="007D4C88" w:rsidP="007776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4C88" w:rsidRPr="004655A3" w:rsidRDefault="007D4C88" w:rsidP="007776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5A3">
              <w:rPr>
                <w:rFonts w:ascii="Times New Roman" w:hAnsi="Times New Roman"/>
                <w:color w:val="000000"/>
                <w:sz w:val="24"/>
                <w:szCs w:val="24"/>
              </w:rPr>
              <w:t>18.4 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sectPr w:rsidR="0051463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A90" w:rsidRDefault="004B2A90">
      <w:r>
        <w:separator/>
      </w:r>
    </w:p>
  </w:endnote>
  <w:endnote w:type="continuationSeparator" w:id="0">
    <w:p w:rsidR="004B2A90" w:rsidRDefault="004B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roman"/>
    <w:pitch w:val="variable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D4C8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A90" w:rsidRDefault="004B2A90">
      <w:r>
        <w:separator/>
      </w:r>
    </w:p>
  </w:footnote>
  <w:footnote w:type="continuationSeparator" w:id="0">
    <w:p w:rsidR="004B2A90" w:rsidRDefault="004B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D36AE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2A90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D4C88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1933-3EC8-4080-A5F5-52A181F0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9</cp:revision>
  <cp:lastPrinted>2019-11-26T10:41:00Z</cp:lastPrinted>
  <dcterms:created xsi:type="dcterms:W3CDTF">2022-01-17T11:36:00Z</dcterms:created>
  <dcterms:modified xsi:type="dcterms:W3CDTF">2023-05-18T10:44:00Z</dcterms:modified>
</cp:coreProperties>
</file>