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685E3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стоимости выполненных работ КС-3, без учета используемых материалов</w:t>
      </w:r>
      <w:r>
        <w:rPr>
          <w:rFonts w:ascii="Times New Roman" w:eastAsia="Times New Roman" w:hAnsi="Times New Roman" w:cs="Times New Roman"/>
          <w:lang w:eastAsia="ru-RU"/>
        </w:rPr>
        <w:t>, предоставленных Заказчиком</w:t>
      </w:r>
      <w:r w:rsidRPr="000608E7">
        <w:rPr>
          <w:rFonts w:ascii="Times New Roman" w:eastAsia="Times New Roman" w:hAnsi="Times New Roman" w:cs="Times New Roman"/>
          <w:lang w:eastAsia="ru-RU"/>
        </w:rPr>
        <w:t>.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621F2F">
        <w:rPr>
          <w:rFonts w:ascii="Times New Roman" w:eastAsia="Times New Roman" w:hAnsi="Times New Roman" w:cs="Times New Roman"/>
          <w:lang w:eastAsia="ru-RU"/>
        </w:rPr>
        <w:t>30</w:t>
      </w:r>
      <w:r w:rsidR="004E410F" w:rsidRPr="000608E7">
        <w:rPr>
          <w:rFonts w:ascii="Times New Roman" w:eastAsia="Times New Roman" w:hAnsi="Times New Roman" w:cs="Times New Roman"/>
          <w:lang w:eastAsia="ru-RU"/>
        </w:rPr>
        <w:t xml:space="preserve"> (</w:t>
      </w:r>
      <w:r w:rsidR="00621F2F">
        <w:rPr>
          <w:rFonts w:ascii="Times New Roman" w:eastAsia="Times New Roman" w:hAnsi="Times New Roman" w:cs="Times New Roman"/>
          <w:lang w:eastAsia="ru-RU"/>
        </w:rPr>
        <w:t>тридцати</w:t>
      </w:r>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w:t>
      </w:r>
      <w:r w:rsidRPr="000608E7">
        <w:rPr>
          <w:rFonts w:ascii="Times New Roman" w:eastAsia="Times New Roman" w:hAnsi="Times New Roman" w:cs="Times New Roman"/>
          <w:lang w:eastAsia="ru-RU"/>
        </w:rPr>
        <w:lastRenderedPageBreak/>
        <w:t>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ьи 809 Гражданского кодекса 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B83A83">
        <w:rPr>
          <w:rFonts w:ascii="Times New Roman" w:eastAsia="Times New Roman" w:hAnsi="Times New Roman" w:cs="Times New Roman"/>
          <w:lang w:eastAsia="ru-RU"/>
        </w:rPr>
        <w:t>6</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685E3D" w:rsidRPr="00685E3D" w:rsidRDefault="00685E3D"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2" w:name="OLE_LINK2"/>
      <w:bookmarkStart w:id="3" w:name="OLE_LINK3"/>
      <w:bookmarkStart w:id="4" w:name="_Toc75619689"/>
      <w:r w:rsidRPr="000608E7">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как Заказчика, так Подрядчика. Материалы и Оборудование, которыми Заказчик обеспечивает Подрядчика, согласовываются Сторонами в Разделительной ведомости </w:t>
      </w:r>
      <w:r>
        <w:rPr>
          <w:rFonts w:ascii="Times New Roman" w:eastAsia="Times New Roman" w:hAnsi="Times New Roman" w:cs="Times New Roman"/>
          <w:lang w:eastAsia="ru-RU"/>
        </w:rPr>
        <w:t>(Приложение №5</w:t>
      </w:r>
      <w:r w:rsidRPr="00E33E5F">
        <w:rPr>
          <w:rFonts w:ascii="Times New Roman" w:eastAsia="Times New Roman" w:hAnsi="Times New Roman" w:cs="Times New Roman"/>
          <w:lang w:eastAsia="ru-RU"/>
        </w:rPr>
        <w:t xml:space="preserve"> к настоящему Договору).</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bCs/>
          <w:lang w:eastAsia="ru-RU"/>
        </w:rPr>
        <w:t>Передача материалов Заказчика Подрядчику оформляется на основании Заявки на получение Материалов для проведения работ, доверенности (по форме № М-2), и оформляется накладной на отпуск материалов на сторону (по форме № М-15). Передача Оборудования подрядчику осуществляется на основании заявки на получение оборудования для проведения работ по настоящему Договору, доверенности (по форме №М-2) и оформляется Актом о приемке-передаче оборудования в монтаж (по форме ОС-15).</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Право собственност</w:t>
      </w:r>
      <w:bookmarkStart w:id="5" w:name="_GoBack"/>
      <w:bookmarkEnd w:id="5"/>
      <w:r w:rsidRPr="000608E7">
        <w:rPr>
          <w:rFonts w:ascii="Times New Roman" w:eastAsia="Times New Roman" w:hAnsi="Times New Roman" w:cs="Times New Roman"/>
          <w:bCs/>
          <w:lang w:eastAsia="ru-RU"/>
        </w:rPr>
        <w:t>и на Материалы и Оборудование остается за Заказчиком. Подрядчик несет полную ответственность за сохранность переданных Материалов и Оборудования до момента сдачи результата Работ по настоящему Договору.  Не использованные Подрядчиком Материалы и Оборудование, предоставленные Заказчиком для проведения Работ, возвращаются Подрядчиком Заказчику по Акту о возврате Материалов и Оборудования, полученных для проведения работ на склад Заказчика не позднее 5 (пяти) рабочих дней с даты окончания Работ по Договору.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(включая Оборудование, предоставляемое Заказчиком), с момента их получения Подрядчиком со склада Заказчика до сдачи Работ Заказчику несет Подрядчик.</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 результатам использования Материалов, Оборудования Подрядчик обязан совместно с Актами выполненных работ предоставить Заказчику Отчет об использовании </w:t>
      </w:r>
      <w:r w:rsidRPr="003C7942">
        <w:rPr>
          <w:rFonts w:ascii="Times New Roman" w:eastAsia="Times New Roman" w:hAnsi="Times New Roman" w:cs="Times New Roman"/>
          <w:bCs/>
          <w:lang w:eastAsia="ru-RU"/>
        </w:rPr>
        <w:t xml:space="preserve">Материалов (по форме Приложения </w:t>
      </w:r>
      <w:r w:rsidRPr="003C7942">
        <w:rPr>
          <w:rFonts w:ascii="Times New Roman" w:eastAsia="Times New Roman" w:hAnsi="Times New Roman" w:cs="Times New Roman"/>
          <w:bCs/>
          <w:lang w:eastAsia="ru-RU"/>
        </w:rPr>
        <w:lastRenderedPageBreak/>
        <w:t>№ 3 к настоящему Договору, Отчет об использовании Оборудования (по форме №4</w:t>
      </w:r>
      <w:r w:rsidRPr="00E33E5F">
        <w:rPr>
          <w:rFonts w:ascii="Times New Roman" w:eastAsia="Times New Roman" w:hAnsi="Times New Roman" w:cs="Times New Roman"/>
          <w:bCs/>
          <w:lang w:eastAsia="ru-RU"/>
        </w:rPr>
        <w:t xml:space="preserve"> к настоящему Договору)</w:t>
      </w:r>
      <w:r w:rsidRPr="000608E7">
        <w:rPr>
          <w:rFonts w:ascii="Times New Roman" w:eastAsia="Times New Roman" w:hAnsi="Times New Roman" w:cs="Times New Roman"/>
          <w:bCs/>
          <w:lang w:eastAsia="ru-RU"/>
        </w:rPr>
        <w:t>.</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сроков возврата Оборудования и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и Оборудования за каждый календарный день просрочки. В случае нарушения Подрядчиком сроков возврата Материалов или Оборудования более чем на 30 календарных дней Заказчик вправе потребовать от Подрядчика уплату рыночной стоимости таких Материалов и Оборудования.</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w:t>
      </w:r>
      <w:r w:rsidRPr="000608E7">
        <w:rPr>
          <w:rFonts w:ascii="Times New Roman" w:eastAsia="Times New Roman" w:hAnsi="Times New Roman" w:cs="Times New Roman"/>
          <w:bCs/>
          <w:lang w:eastAsia="ru-RU"/>
        </w:rPr>
        <w:lastRenderedPageBreak/>
        <w:t>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w:t>
      </w:r>
      <w:r w:rsidRPr="000608E7">
        <w:rPr>
          <w:rFonts w:ascii="Times New Roman" w:eastAsia="Times New Roman" w:hAnsi="Times New Roman" w:cs="Times New Roman"/>
          <w:bCs/>
          <w:lang w:eastAsia="ru-RU"/>
        </w:rPr>
        <w:lastRenderedPageBreak/>
        <w:t>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6" w:name="_Toc75619688"/>
      <w:bookmarkStart w:id="7" w:name="_Toc91325838"/>
      <w:bookmarkEnd w:id="2"/>
      <w:bookmarkEnd w:id="3"/>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6"/>
      <w:bookmarkEnd w:id="7"/>
      <w:r w:rsidRPr="000608E7">
        <w:rPr>
          <w:rFonts w:ascii="Times New Roman" w:eastAsia="Times New Roman" w:hAnsi="Times New Roman" w:cs="Times New Roman"/>
          <w:lang w:eastAsia="ru-RU"/>
        </w:rPr>
        <w:lastRenderedPageBreak/>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3F470F" w:rsidRDefault="003F470F" w:rsidP="003F470F">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lastRenderedPageBreak/>
        <w:t>Каналы уведомления Заказчика об указанных нарушениях Договора:</w:t>
      </w:r>
      <w:r w:rsidRPr="00102472">
        <w:t xml:space="preserve"> </w:t>
      </w:r>
      <w:hyperlink r:id="rId8" w:history="1">
        <w:r w:rsidRPr="00571FEB">
          <w:rPr>
            <w:rStyle w:val="a9"/>
            <w:rFonts w:ascii="Times New Roman" w:eastAsia="Times New Roman" w:hAnsi="Times New Roman" w:cs="Times New Roman"/>
            <w:bCs/>
            <w:lang w:eastAsia="ru-RU"/>
          </w:rPr>
          <w:t>hotline@tnpz.rusinvest.ru</w:t>
        </w:r>
      </w:hyperlink>
      <w:r>
        <w:rPr>
          <w:rFonts w:ascii="Times New Roman" w:eastAsia="Times New Roman" w:hAnsi="Times New Roman" w:cs="Times New Roman"/>
          <w:bCs/>
          <w:lang w:eastAsia="ru-RU"/>
        </w:rPr>
        <w:t xml:space="preserve"> </w:t>
      </w:r>
      <w:r w:rsidRPr="00102472">
        <w:rPr>
          <w:rFonts w:ascii="Times New Roman" w:eastAsia="Times New Roman" w:hAnsi="Times New Roman" w:cs="Times New Roman"/>
          <w:bCs/>
          <w:lang w:eastAsia="ru-RU"/>
        </w:rPr>
        <w:t>или по телефону: 8-800-700-23-97, 8 (3452) 53-23-99 (3397).</w:t>
      </w:r>
    </w:p>
    <w:p w:rsidR="003F470F" w:rsidRPr="00102472" w:rsidRDefault="003F470F" w:rsidP="003F470F">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w:t>
      </w:r>
      <w:r w:rsidRPr="000608E7">
        <w:rPr>
          <w:rFonts w:ascii="Times New Roman" w:eastAsia="Times New Roman" w:hAnsi="Times New Roman" w:cs="Times New Roman"/>
          <w:bCs/>
          <w:lang w:eastAsia="ru-RU"/>
        </w:rPr>
        <w:lastRenderedPageBreak/>
        <w:t>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Default="00E21A66"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Pr="000608E7" w:rsidRDefault="00621F2F"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4"/>
      <w:bookmarkEnd w:id="8"/>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 xml:space="preserve">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w:t>
      </w:r>
      <w:r w:rsidRPr="000608E7">
        <w:rPr>
          <w:rFonts w:ascii="Times New Roman" w:hAnsi="Times New Roman" w:cs="Times New Roman"/>
          <w:bCs/>
        </w:rPr>
        <w:lastRenderedPageBreak/>
        <w:t>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3F470F" w:rsidRPr="00B0366F" w:rsidRDefault="003F470F" w:rsidP="003F470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Настоящий </w:t>
      </w:r>
      <w:r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3</w:t>
      </w:r>
      <w:r w:rsidRPr="00E33E5F">
        <w:rPr>
          <w:rFonts w:ascii="Times New Roman" w:eastAsia="Times New Roman" w:hAnsi="Times New Roman" w:cs="Times New Roman"/>
          <w:bCs/>
          <w:lang w:eastAsia="ru-RU"/>
        </w:rPr>
        <w:t xml:space="preserve"> - Форма Отчета об использовании Материалов;</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4</w:t>
      </w:r>
      <w:r w:rsidRPr="00E33E5F">
        <w:rPr>
          <w:rFonts w:ascii="Times New Roman" w:eastAsia="Times New Roman" w:hAnsi="Times New Roman" w:cs="Times New Roman"/>
          <w:bCs/>
          <w:lang w:eastAsia="ru-RU"/>
        </w:rPr>
        <w:t xml:space="preserve"> - Форма Отчета об использовании Оборудования;</w:t>
      </w:r>
    </w:p>
    <w:p w:rsidR="00B83A83" w:rsidRPr="002F1B4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5</w:t>
      </w:r>
      <w:r w:rsidRPr="00E33E5F">
        <w:rPr>
          <w:rFonts w:ascii="Times New Roman" w:eastAsia="Times New Roman" w:hAnsi="Times New Roman" w:cs="Times New Roman"/>
          <w:bCs/>
          <w:lang w:eastAsia="ru-RU"/>
        </w:rPr>
        <w:t xml:space="preserve"> – Разделительная ведомость.</w:t>
      </w:r>
    </w:p>
    <w:p w:rsidR="00B83A83" w:rsidRPr="000608E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№6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lastRenderedPageBreak/>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3F470F" w:rsidRDefault="003F470F"/>
    <w:p w:rsidR="003F470F" w:rsidRDefault="003F470F"/>
    <w:p w:rsidR="003F470F" w:rsidRDefault="003F470F"/>
    <w:p w:rsidR="003F470F" w:rsidRDefault="003F470F"/>
    <w:p w:rsidR="003F470F" w:rsidRDefault="003F470F"/>
    <w:p w:rsidR="003F470F" w:rsidRDefault="003F470F"/>
    <w:p w:rsidR="003F470F" w:rsidRPr="000608E7" w:rsidRDefault="003F470F"/>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lastRenderedPageBreak/>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883" w:dyaOrig="14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709.35pt" o:ole="">
            <v:imagedata r:id="rId9" o:title="" cropright="9652f"/>
          </v:shape>
          <o:OLEObject Type="Embed" ProgID="Excel.Sheet.12" ShapeID="_x0000_i1025" DrawAspect="Content" ObjectID="_1745759399" r:id="rId10"/>
        </w:object>
      </w: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516" w:dyaOrig="13912">
          <v:shape id="_x0000_i1026" type="#_x0000_t75" style="width:513.4pt;height:695.6pt" o:ole="">
            <v:imagedata r:id="rId11" o:title="" cropright="9829f"/>
          </v:shape>
          <o:OLEObject Type="Embed" ProgID="Excel.Sheet.12" ShapeID="_x0000_i1026" DrawAspect="Content" ObjectID="_1745759400" r:id="rId12"/>
        </w:object>
      </w:r>
    </w:p>
    <w:p w:rsidR="007A1A76" w:rsidRDefault="007A1A76"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13"/>
          <w:footerReference w:type="default" r:id="rId14"/>
          <w:pgSz w:w="11906" w:h="16838"/>
          <w:pgMar w:top="851" w:right="851" w:bottom="567" w:left="1134" w:header="709" w:footer="709" w:gutter="0"/>
          <w:cols w:space="708"/>
          <w:docGrid w:linePitch="360"/>
        </w:sectPr>
      </w:pPr>
    </w:p>
    <w:p w:rsidR="000608E7" w:rsidRPr="000608E7" w:rsidRDefault="00B83A83"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№6</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3F470F"/>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21F2F"/>
    <w:rsid w:val="0063264C"/>
    <w:rsid w:val="006440D9"/>
    <w:rsid w:val="00663F1B"/>
    <w:rsid w:val="006709F4"/>
    <w:rsid w:val="00685E3D"/>
    <w:rsid w:val="006902DE"/>
    <w:rsid w:val="00694AC9"/>
    <w:rsid w:val="006A5855"/>
    <w:rsid w:val="006B32E6"/>
    <w:rsid w:val="006C2BAF"/>
    <w:rsid w:val="006D6270"/>
    <w:rsid w:val="00702DF0"/>
    <w:rsid w:val="00721FA0"/>
    <w:rsid w:val="00730EF2"/>
    <w:rsid w:val="007374D3"/>
    <w:rsid w:val="00753BE2"/>
    <w:rsid w:val="00766A07"/>
    <w:rsid w:val="00792722"/>
    <w:rsid w:val="007A1A76"/>
    <w:rsid w:val="007A3953"/>
    <w:rsid w:val="007E22AD"/>
    <w:rsid w:val="007F1C78"/>
    <w:rsid w:val="0084222C"/>
    <w:rsid w:val="008509AF"/>
    <w:rsid w:val="0085139C"/>
    <w:rsid w:val="00861A96"/>
    <w:rsid w:val="00861B27"/>
    <w:rsid w:val="00863094"/>
    <w:rsid w:val="00876AFF"/>
    <w:rsid w:val="00881048"/>
    <w:rsid w:val="008824BB"/>
    <w:rsid w:val="008C7F1F"/>
    <w:rsid w:val="008D12F2"/>
    <w:rsid w:val="008D54CD"/>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3A83"/>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932997">
      <w:bodyDiv w:val="1"/>
      <w:marLeft w:val="0"/>
      <w:marRight w:val="0"/>
      <w:marTop w:val="0"/>
      <w:marBottom w:val="0"/>
      <w:divBdr>
        <w:top w:val="none" w:sz="0" w:space="0" w:color="auto"/>
        <w:left w:val="none" w:sz="0" w:space="0" w:color="auto"/>
        <w:bottom w:val="none" w:sz="0" w:space="0" w:color="auto"/>
        <w:right w:val="none" w:sz="0" w:space="0" w:color="auto"/>
      </w:divBdr>
    </w:div>
    <w:div w:id="10612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_____Microsoft_Excel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E343-CDE5-443B-9F66-F72C6549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10280</Words>
  <Characters>58596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7</cp:revision>
  <cp:lastPrinted>2017-04-10T09:17:00Z</cp:lastPrinted>
  <dcterms:created xsi:type="dcterms:W3CDTF">2023-02-27T10:29:00Z</dcterms:created>
  <dcterms:modified xsi:type="dcterms:W3CDTF">2023-05-16T11:24:00Z</dcterms:modified>
</cp:coreProperties>
</file>