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134"/>
        <w:gridCol w:w="993"/>
        <w:gridCol w:w="992"/>
        <w:gridCol w:w="992"/>
        <w:gridCol w:w="992"/>
        <w:gridCol w:w="1308"/>
        <w:gridCol w:w="1450"/>
        <w:gridCol w:w="1353"/>
      </w:tblGrid>
      <w:tr w:rsidR="00EC4049" w:rsidRPr="00A661C2" w:rsidTr="00EC4049">
        <w:trPr>
          <w:trHeight w:val="642"/>
        </w:trPr>
        <w:tc>
          <w:tcPr>
            <w:tcW w:w="567" w:type="dxa"/>
            <w:vAlign w:val="center"/>
          </w:tcPr>
          <w:p w:rsidR="00EC4049" w:rsidRPr="00A661C2" w:rsidRDefault="00EC4049" w:rsidP="00CA6D88">
            <w:pPr>
              <w:jc w:val="center"/>
              <w:rPr>
                <w:b/>
                <w:sz w:val="18"/>
                <w:szCs w:val="18"/>
              </w:rPr>
            </w:pPr>
            <w:r w:rsidRPr="00A661C2">
              <w:rPr>
                <w:b/>
                <w:sz w:val="18"/>
                <w:szCs w:val="18"/>
              </w:rPr>
              <w:t>№ п/п</w:t>
            </w:r>
          </w:p>
        </w:tc>
        <w:tc>
          <w:tcPr>
            <w:tcW w:w="1134" w:type="dxa"/>
            <w:vAlign w:val="center"/>
          </w:tcPr>
          <w:p w:rsidR="00EC4049" w:rsidRPr="00A661C2" w:rsidRDefault="00EC4049" w:rsidP="00CA6D88">
            <w:pPr>
              <w:jc w:val="center"/>
              <w:rPr>
                <w:b/>
                <w:sz w:val="18"/>
                <w:szCs w:val="18"/>
              </w:rPr>
            </w:pPr>
            <w:r w:rsidRPr="00A661C2">
              <w:rPr>
                <w:b/>
                <w:sz w:val="18"/>
                <w:szCs w:val="18"/>
              </w:rPr>
              <w:t>Наименование Товара</w:t>
            </w:r>
          </w:p>
        </w:tc>
        <w:tc>
          <w:tcPr>
            <w:tcW w:w="993" w:type="dxa"/>
            <w:vAlign w:val="center"/>
          </w:tcPr>
          <w:p w:rsidR="00EC4049" w:rsidRPr="00A661C2" w:rsidRDefault="00EC4049" w:rsidP="00CA6D88">
            <w:pPr>
              <w:jc w:val="center"/>
              <w:rPr>
                <w:b/>
                <w:sz w:val="18"/>
                <w:szCs w:val="18"/>
              </w:rPr>
            </w:pPr>
            <w:r w:rsidRPr="00A661C2">
              <w:rPr>
                <w:b/>
                <w:sz w:val="18"/>
                <w:szCs w:val="18"/>
              </w:rPr>
              <w:t>Единица измерения</w:t>
            </w:r>
          </w:p>
        </w:tc>
        <w:tc>
          <w:tcPr>
            <w:tcW w:w="992" w:type="dxa"/>
            <w:vAlign w:val="center"/>
          </w:tcPr>
          <w:p w:rsidR="00EC4049" w:rsidRPr="00A661C2" w:rsidRDefault="00EC4049" w:rsidP="00CA6D88">
            <w:pPr>
              <w:jc w:val="center"/>
              <w:rPr>
                <w:b/>
                <w:sz w:val="18"/>
                <w:szCs w:val="18"/>
              </w:rPr>
            </w:pPr>
            <w:r w:rsidRPr="00EC4049">
              <w:rPr>
                <w:b/>
                <w:sz w:val="18"/>
                <w:szCs w:val="18"/>
              </w:rPr>
              <w:t>Ориентировочный ежемесячный объем товара (</w:t>
            </w:r>
            <w:proofErr w:type="spellStart"/>
            <w:r w:rsidRPr="00EC4049">
              <w:rPr>
                <w:b/>
                <w:sz w:val="18"/>
                <w:szCs w:val="18"/>
              </w:rPr>
              <w:t>тн</w:t>
            </w:r>
            <w:proofErr w:type="spellEnd"/>
            <w:r w:rsidRPr="00EC4049">
              <w:rPr>
                <w:b/>
                <w:sz w:val="18"/>
                <w:szCs w:val="18"/>
              </w:rPr>
              <w:t>.)</w:t>
            </w:r>
          </w:p>
        </w:tc>
        <w:tc>
          <w:tcPr>
            <w:tcW w:w="992" w:type="dxa"/>
            <w:vAlign w:val="center"/>
          </w:tcPr>
          <w:p w:rsidR="00EC4049" w:rsidRPr="00A661C2" w:rsidRDefault="00EC4049" w:rsidP="00CA6D88">
            <w:pPr>
              <w:jc w:val="center"/>
              <w:rPr>
                <w:b/>
                <w:sz w:val="18"/>
                <w:szCs w:val="18"/>
              </w:rPr>
            </w:pPr>
            <w:r w:rsidRPr="00EC4049">
              <w:rPr>
                <w:b/>
                <w:sz w:val="18"/>
                <w:szCs w:val="18"/>
              </w:rPr>
              <w:t>Ориентировочное кол-во</w:t>
            </w:r>
          </w:p>
        </w:tc>
        <w:tc>
          <w:tcPr>
            <w:tcW w:w="992" w:type="dxa"/>
            <w:vAlign w:val="center"/>
          </w:tcPr>
          <w:p w:rsidR="00EC4049" w:rsidRPr="00A661C2" w:rsidRDefault="00EC4049" w:rsidP="00CA6D88">
            <w:pPr>
              <w:jc w:val="center"/>
              <w:rPr>
                <w:b/>
                <w:sz w:val="18"/>
                <w:szCs w:val="18"/>
              </w:rPr>
            </w:pPr>
            <w:r w:rsidRPr="00A661C2">
              <w:rPr>
                <w:b/>
                <w:sz w:val="18"/>
                <w:szCs w:val="18"/>
              </w:rPr>
              <w:t xml:space="preserve">Цена </w:t>
            </w:r>
          </w:p>
          <w:p w:rsidR="00EC4049" w:rsidRPr="00A661C2" w:rsidRDefault="00EC4049" w:rsidP="00CA6D88">
            <w:pPr>
              <w:jc w:val="center"/>
              <w:rPr>
                <w:b/>
                <w:sz w:val="18"/>
                <w:szCs w:val="18"/>
              </w:rPr>
            </w:pPr>
            <w:r w:rsidRPr="00A661C2">
              <w:rPr>
                <w:b/>
                <w:sz w:val="18"/>
                <w:szCs w:val="18"/>
              </w:rPr>
              <w:t>без НДС, руб.</w:t>
            </w:r>
          </w:p>
        </w:tc>
        <w:tc>
          <w:tcPr>
            <w:tcW w:w="1308" w:type="dxa"/>
            <w:vAlign w:val="center"/>
          </w:tcPr>
          <w:p w:rsidR="00EC4049" w:rsidRPr="00A661C2" w:rsidRDefault="00EC4049" w:rsidP="00CA6D88">
            <w:pPr>
              <w:jc w:val="center"/>
              <w:rPr>
                <w:b/>
                <w:sz w:val="18"/>
                <w:szCs w:val="18"/>
              </w:rPr>
            </w:pPr>
            <w:r w:rsidRPr="00A661C2">
              <w:rPr>
                <w:b/>
                <w:sz w:val="18"/>
                <w:szCs w:val="18"/>
              </w:rPr>
              <w:t xml:space="preserve">Сумма </w:t>
            </w:r>
          </w:p>
          <w:p w:rsidR="00EC4049" w:rsidRPr="00A661C2" w:rsidRDefault="00EC4049" w:rsidP="00CA6D88">
            <w:pPr>
              <w:jc w:val="center"/>
              <w:rPr>
                <w:b/>
                <w:sz w:val="18"/>
                <w:szCs w:val="18"/>
              </w:rPr>
            </w:pPr>
            <w:r w:rsidRPr="00A661C2">
              <w:rPr>
                <w:b/>
                <w:sz w:val="18"/>
                <w:szCs w:val="18"/>
              </w:rPr>
              <w:t>без НДС, руб.</w:t>
            </w:r>
          </w:p>
        </w:tc>
        <w:tc>
          <w:tcPr>
            <w:tcW w:w="1450" w:type="dxa"/>
            <w:vAlign w:val="center"/>
          </w:tcPr>
          <w:p w:rsidR="00EC4049" w:rsidRPr="00A661C2" w:rsidRDefault="00EC4049" w:rsidP="00CA6D88">
            <w:pPr>
              <w:jc w:val="center"/>
              <w:rPr>
                <w:b/>
                <w:sz w:val="18"/>
                <w:szCs w:val="18"/>
              </w:rPr>
            </w:pPr>
            <w:r w:rsidRPr="00A661C2">
              <w:rPr>
                <w:b/>
                <w:sz w:val="18"/>
                <w:szCs w:val="18"/>
              </w:rPr>
              <w:t>Сумма</w:t>
            </w:r>
          </w:p>
          <w:p w:rsidR="00EC4049" w:rsidRPr="00A661C2" w:rsidRDefault="00EC4049" w:rsidP="00CA6D88">
            <w:pPr>
              <w:jc w:val="center"/>
              <w:rPr>
                <w:b/>
                <w:sz w:val="18"/>
                <w:szCs w:val="18"/>
              </w:rPr>
            </w:pPr>
            <w:r w:rsidRPr="00A661C2">
              <w:rPr>
                <w:b/>
                <w:sz w:val="18"/>
                <w:szCs w:val="18"/>
              </w:rPr>
              <w:t>НДС 20%, руб.</w:t>
            </w:r>
          </w:p>
        </w:tc>
        <w:tc>
          <w:tcPr>
            <w:tcW w:w="1353" w:type="dxa"/>
            <w:vAlign w:val="center"/>
          </w:tcPr>
          <w:p w:rsidR="00EC4049" w:rsidRPr="00A661C2" w:rsidRDefault="00EC4049" w:rsidP="00CA6D88">
            <w:pPr>
              <w:jc w:val="center"/>
              <w:rPr>
                <w:b/>
                <w:sz w:val="18"/>
                <w:szCs w:val="18"/>
              </w:rPr>
            </w:pPr>
            <w:r w:rsidRPr="00A661C2">
              <w:rPr>
                <w:b/>
                <w:sz w:val="18"/>
                <w:szCs w:val="18"/>
              </w:rPr>
              <w:t xml:space="preserve">Сумма </w:t>
            </w:r>
          </w:p>
          <w:p w:rsidR="00EC4049" w:rsidRPr="00A661C2" w:rsidRDefault="00EC4049" w:rsidP="00CA6D88">
            <w:pPr>
              <w:jc w:val="center"/>
              <w:rPr>
                <w:b/>
                <w:sz w:val="18"/>
                <w:szCs w:val="18"/>
              </w:rPr>
            </w:pPr>
            <w:r w:rsidRPr="00A661C2">
              <w:rPr>
                <w:b/>
                <w:sz w:val="18"/>
                <w:szCs w:val="18"/>
              </w:rPr>
              <w:t>с НДС 20%, руб.</w:t>
            </w:r>
          </w:p>
        </w:tc>
      </w:tr>
      <w:tr w:rsidR="00EC4049" w:rsidRPr="00A661C2" w:rsidTr="00EC4049">
        <w:trPr>
          <w:trHeight w:val="213"/>
        </w:trPr>
        <w:tc>
          <w:tcPr>
            <w:tcW w:w="567" w:type="dxa"/>
          </w:tcPr>
          <w:p w:rsidR="00EC4049" w:rsidRPr="00A661C2" w:rsidRDefault="00EC4049" w:rsidP="00CA6D88">
            <w:pPr>
              <w:jc w:val="center"/>
              <w:rPr>
                <w:b/>
                <w:sz w:val="18"/>
                <w:szCs w:val="18"/>
              </w:rPr>
            </w:pPr>
            <w:r w:rsidRPr="00A661C2">
              <w:rPr>
                <w:b/>
                <w:sz w:val="18"/>
                <w:szCs w:val="18"/>
              </w:rPr>
              <w:t>1.</w:t>
            </w:r>
          </w:p>
        </w:tc>
        <w:tc>
          <w:tcPr>
            <w:tcW w:w="1134" w:type="dxa"/>
          </w:tcPr>
          <w:p w:rsidR="00EC4049" w:rsidRPr="00A661C2" w:rsidRDefault="00EC4049" w:rsidP="00CA6D88">
            <w:pPr>
              <w:rPr>
                <w:sz w:val="18"/>
                <w:szCs w:val="18"/>
              </w:rPr>
            </w:pPr>
            <w:r>
              <w:rPr>
                <w:sz w:val="18"/>
                <w:szCs w:val="18"/>
              </w:rPr>
              <w:t>Жидкий азот</w:t>
            </w:r>
          </w:p>
        </w:tc>
        <w:tc>
          <w:tcPr>
            <w:tcW w:w="993" w:type="dxa"/>
          </w:tcPr>
          <w:p w:rsidR="00EC4049" w:rsidRPr="00A661C2" w:rsidRDefault="00EC4049" w:rsidP="00CA6D88">
            <w:pPr>
              <w:jc w:val="center"/>
              <w:rPr>
                <w:sz w:val="18"/>
                <w:szCs w:val="18"/>
              </w:rPr>
            </w:pPr>
            <w:r>
              <w:rPr>
                <w:sz w:val="18"/>
                <w:szCs w:val="18"/>
              </w:rPr>
              <w:t>т</w:t>
            </w:r>
          </w:p>
        </w:tc>
        <w:tc>
          <w:tcPr>
            <w:tcW w:w="992" w:type="dxa"/>
          </w:tcPr>
          <w:p w:rsidR="00EC4049" w:rsidRPr="00A661C2" w:rsidRDefault="00EC4049" w:rsidP="00EC4049">
            <w:pPr>
              <w:jc w:val="center"/>
              <w:rPr>
                <w:sz w:val="18"/>
                <w:szCs w:val="18"/>
              </w:rPr>
            </w:pPr>
            <w:r>
              <w:rPr>
                <w:sz w:val="18"/>
                <w:szCs w:val="18"/>
              </w:rPr>
              <w:t>60,00</w:t>
            </w:r>
          </w:p>
        </w:tc>
        <w:tc>
          <w:tcPr>
            <w:tcW w:w="992" w:type="dxa"/>
            <w:vAlign w:val="center"/>
          </w:tcPr>
          <w:p w:rsidR="00EC4049" w:rsidRPr="00A661C2" w:rsidRDefault="00EC4049" w:rsidP="00CA6D88">
            <w:pPr>
              <w:jc w:val="center"/>
              <w:rPr>
                <w:sz w:val="18"/>
                <w:szCs w:val="18"/>
              </w:rPr>
            </w:pPr>
            <w:r>
              <w:rPr>
                <w:sz w:val="18"/>
                <w:szCs w:val="18"/>
              </w:rPr>
              <w:t>348,00</w:t>
            </w:r>
          </w:p>
        </w:tc>
        <w:tc>
          <w:tcPr>
            <w:tcW w:w="992" w:type="dxa"/>
            <w:vAlign w:val="center"/>
          </w:tcPr>
          <w:p w:rsidR="00EC4049" w:rsidRPr="00A661C2" w:rsidRDefault="00EC4049" w:rsidP="00CA6D88">
            <w:pPr>
              <w:jc w:val="center"/>
              <w:rPr>
                <w:sz w:val="18"/>
                <w:szCs w:val="18"/>
              </w:rPr>
            </w:pPr>
            <w:bookmarkStart w:id="0" w:name="_GoBack"/>
            <w:bookmarkEnd w:id="0"/>
          </w:p>
        </w:tc>
        <w:tc>
          <w:tcPr>
            <w:tcW w:w="1308" w:type="dxa"/>
            <w:vAlign w:val="center"/>
          </w:tcPr>
          <w:p w:rsidR="00EC4049" w:rsidRPr="00A661C2" w:rsidRDefault="00EC4049" w:rsidP="00CA6D88">
            <w:pPr>
              <w:jc w:val="center"/>
              <w:rPr>
                <w:sz w:val="18"/>
                <w:szCs w:val="18"/>
              </w:rPr>
            </w:pPr>
          </w:p>
        </w:tc>
        <w:tc>
          <w:tcPr>
            <w:tcW w:w="1450" w:type="dxa"/>
            <w:vAlign w:val="center"/>
          </w:tcPr>
          <w:p w:rsidR="00EC4049" w:rsidRPr="00A661C2" w:rsidRDefault="00EC4049" w:rsidP="00CA6D88">
            <w:pPr>
              <w:jc w:val="center"/>
              <w:rPr>
                <w:sz w:val="18"/>
                <w:szCs w:val="18"/>
              </w:rPr>
            </w:pPr>
          </w:p>
        </w:tc>
        <w:tc>
          <w:tcPr>
            <w:tcW w:w="1353" w:type="dxa"/>
            <w:vAlign w:val="center"/>
          </w:tcPr>
          <w:p w:rsidR="00EC4049" w:rsidRPr="00A661C2" w:rsidRDefault="00EC4049" w:rsidP="00CA6D88">
            <w:pPr>
              <w:jc w:val="center"/>
              <w:rPr>
                <w:sz w:val="18"/>
                <w:szCs w:val="18"/>
              </w:rPr>
            </w:pPr>
          </w:p>
        </w:tc>
      </w:tr>
      <w:tr w:rsidR="00A661C2" w:rsidRPr="00A661C2" w:rsidTr="00EC4049">
        <w:trPr>
          <w:trHeight w:val="213"/>
        </w:trPr>
        <w:tc>
          <w:tcPr>
            <w:tcW w:w="5670" w:type="dxa"/>
            <w:gridSpan w:val="6"/>
          </w:tcPr>
          <w:p w:rsidR="00A661C2" w:rsidRPr="00A661C2" w:rsidRDefault="00A661C2" w:rsidP="00CA6D88">
            <w:pPr>
              <w:jc w:val="right"/>
              <w:rPr>
                <w:sz w:val="18"/>
                <w:szCs w:val="18"/>
              </w:rPr>
            </w:pPr>
            <w:r w:rsidRPr="00A661C2">
              <w:rPr>
                <w:b/>
                <w:sz w:val="18"/>
                <w:szCs w:val="18"/>
              </w:rPr>
              <w:t>ИТОГО:</w:t>
            </w:r>
          </w:p>
        </w:tc>
        <w:tc>
          <w:tcPr>
            <w:tcW w:w="1308"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EC4049">
      <w:pPr>
        <w:pStyle w:val="ab"/>
        <w:numPr>
          <w:ilvl w:val="0"/>
          <w:numId w:val="4"/>
        </w:numPr>
        <w:jc w:val="both"/>
        <w:rPr>
          <w:sz w:val="22"/>
          <w:szCs w:val="22"/>
        </w:rPr>
      </w:pPr>
      <w:r w:rsidRPr="00A661C2">
        <w:rPr>
          <w:b/>
          <w:sz w:val="22"/>
          <w:szCs w:val="22"/>
        </w:rPr>
        <w:t>Срок поставки:</w:t>
      </w:r>
      <w:r w:rsidRPr="00A661C2">
        <w:rPr>
          <w:sz w:val="22"/>
          <w:szCs w:val="22"/>
        </w:rPr>
        <w:t xml:space="preserve"> </w:t>
      </w:r>
      <w:r w:rsidR="00EC4049" w:rsidRPr="00EC4049">
        <w:rPr>
          <w:sz w:val="22"/>
          <w:szCs w:val="22"/>
        </w:rPr>
        <w:t>Согласно графика поставки (разрабатывается на каждый месяц); в рамках исполнения настоящей Спецификации допускается поставка Товара партиями.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EC4049">
        <w:rPr>
          <w:sz w:val="22"/>
          <w:szCs w:val="22"/>
        </w:rPr>
        <w:t>5</w:t>
      </w:r>
      <w:r w:rsidRPr="00A661C2">
        <w:rPr>
          <w:sz w:val="22"/>
          <w:szCs w:val="22"/>
        </w:rPr>
        <w:t xml:space="preserve"> (</w:t>
      </w:r>
      <w:r w:rsidR="00EC4049">
        <w:rPr>
          <w:sz w:val="22"/>
          <w:szCs w:val="22"/>
        </w:rPr>
        <w:t>пять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EC4049" w:rsidRPr="00A661C2" w:rsidRDefault="00EC4049" w:rsidP="00EC4049">
      <w:pPr>
        <w:pStyle w:val="ab"/>
        <w:numPr>
          <w:ilvl w:val="0"/>
          <w:numId w:val="4"/>
        </w:numPr>
        <w:jc w:val="both"/>
        <w:rPr>
          <w:sz w:val="22"/>
          <w:szCs w:val="22"/>
        </w:rPr>
      </w:pPr>
      <w:r w:rsidRPr="00EC4049">
        <w:rPr>
          <w:sz w:val="22"/>
          <w:szCs w:val="22"/>
        </w:rPr>
        <w:t>Гарантийный срок на Товар на момент поступления на склад Покупателя должен быть не менее 2/3 от установленного производителем срока годности и прописанного в нормативных документах на Товар</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27F1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17" w:rsidRDefault="00227F17" w:rsidP="00DC636A">
      <w:r>
        <w:separator/>
      </w:r>
    </w:p>
  </w:endnote>
  <w:endnote w:type="continuationSeparator" w:id="0">
    <w:p w:rsidR="00227F17" w:rsidRDefault="00227F1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17" w:rsidRDefault="00227F17" w:rsidP="00DC636A">
      <w:r>
        <w:separator/>
      </w:r>
    </w:p>
  </w:footnote>
  <w:footnote w:type="continuationSeparator" w:id="0">
    <w:p w:rsidR="00227F17" w:rsidRDefault="00227F1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C4049">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27F17"/>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4049"/>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230F7"/>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9694-7004-40C6-8F66-C7548388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7240</Words>
  <Characters>41271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29</cp:revision>
  <cp:lastPrinted>2022-07-27T04:53:00Z</cp:lastPrinted>
  <dcterms:created xsi:type="dcterms:W3CDTF">2021-12-27T13:58:00Z</dcterms:created>
  <dcterms:modified xsi:type="dcterms:W3CDTF">2023-06-06T02:57:00Z</dcterms:modified>
</cp:coreProperties>
</file>