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274C6E7A"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A1371C" w:rsidRPr="00A1371C">
        <w:rPr>
          <w:rFonts w:ascii="Times New Roman" w:hAnsi="Times New Roman"/>
          <w:b/>
          <w:bCs/>
          <w:smallCaps/>
          <w:spacing w:val="5"/>
        </w:rPr>
        <w:t>Катализатор</w:t>
      </w:r>
      <w:r w:rsidR="00A1371C">
        <w:rPr>
          <w:rFonts w:ascii="Times New Roman" w:hAnsi="Times New Roman"/>
          <w:b/>
          <w:bCs/>
          <w:smallCaps/>
          <w:spacing w:val="5"/>
        </w:rPr>
        <w:t>а</w:t>
      </w:r>
      <w:r w:rsidR="00A1371C" w:rsidRPr="00A1371C">
        <w:rPr>
          <w:rFonts w:ascii="Times New Roman" w:hAnsi="Times New Roman"/>
          <w:b/>
          <w:bCs/>
          <w:smallCaps/>
          <w:spacing w:val="5"/>
        </w:rPr>
        <w:t xml:space="preserve"> предриформинга AR-401 с пониженной активностью</w:t>
      </w:r>
      <w:r w:rsidR="00A1371C" w:rsidRPr="00A1371C">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D764A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D764A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D764A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D764A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D764A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D764A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D764A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D764A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D764A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D764A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D764A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D764A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D764A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D764A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D764A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D764A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D764A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D764A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D764A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D764A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D764A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D764A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D764A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D764A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D764A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D764A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D764A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D764A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D764A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D764A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D764A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D764A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D764A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D764A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D764A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D764A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D764A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D764A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D764A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D764A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D764A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D764A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D764A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D764A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D764A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D764A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D764A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D764A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D764A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7D009600"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A1371C" w:rsidRPr="00A1371C">
              <w:rPr>
                <w:rFonts w:ascii="Times New Roman" w:hAnsi="Times New Roman"/>
                <w:sz w:val="24"/>
                <w:szCs w:val="24"/>
              </w:rPr>
              <w:t>Катализатор</w:t>
            </w:r>
            <w:r w:rsidR="00A1371C">
              <w:rPr>
                <w:rFonts w:ascii="Times New Roman" w:hAnsi="Times New Roman"/>
                <w:sz w:val="24"/>
                <w:szCs w:val="24"/>
              </w:rPr>
              <w:t>а</w:t>
            </w:r>
            <w:r w:rsidR="00A1371C" w:rsidRPr="00A1371C">
              <w:rPr>
                <w:rFonts w:ascii="Times New Roman" w:hAnsi="Times New Roman"/>
                <w:sz w:val="24"/>
                <w:szCs w:val="24"/>
              </w:rPr>
              <w:t xml:space="preserve"> предриформинга AR-401 с пониженной активностью</w:t>
            </w:r>
            <w:r w:rsidR="00A1371C" w:rsidRPr="00A1371C">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138BFD3F" w:rsidR="009A3025" w:rsidRPr="007B379B" w:rsidRDefault="00A1371C" w:rsidP="00AE1721">
            <w:pPr>
              <w:pStyle w:val="a3"/>
              <w:numPr>
                <w:ilvl w:val="0"/>
                <w:numId w:val="0"/>
              </w:numPr>
              <w:rPr>
                <w:rFonts w:ascii="Times New Roman" w:hAnsi="Times New Roman"/>
                <w:bCs/>
                <w:sz w:val="24"/>
              </w:rPr>
            </w:pPr>
            <w:r w:rsidRPr="004B00F1">
              <w:rPr>
                <w:rFonts w:ascii="Times New Roman" w:hAnsi="Times New Roman"/>
                <w:bCs/>
                <w:sz w:val="24"/>
                <w:szCs w:val="24"/>
              </w:rPr>
              <w:t>18-Р-2023-РИ(ЭТП)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5106622B"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764A6">
              <w:rPr>
                <w:rFonts w:ascii="Times New Roman" w:hAnsi="Times New Roman"/>
                <w:bCs/>
                <w:spacing w:val="-6"/>
                <w:sz w:val="24"/>
              </w:rPr>
              <w:t>20</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2B6E1A6F"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764A6">
              <w:rPr>
                <w:rFonts w:ascii="Times New Roman" w:hAnsi="Times New Roman"/>
                <w:bCs/>
                <w:sz w:val="24"/>
              </w:rPr>
              <w:t>20</w:t>
            </w:r>
            <w:bookmarkStart w:id="550" w:name="_GoBack"/>
            <w:bookmarkEnd w:id="550"/>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A1371C" w:rsidRPr="00562602" w14:paraId="7F8AB8F1" w14:textId="77777777" w:rsidTr="0077127C">
        <w:trPr>
          <w:trHeight w:val="441"/>
        </w:trPr>
        <w:tc>
          <w:tcPr>
            <w:tcW w:w="709" w:type="dxa"/>
            <w:vAlign w:val="center"/>
          </w:tcPr>
          <w:p w14:paraId="482D7711" w14:textId="77777777" w:rsidR="00A1371C" w:rsidRPr="00562602" w:rsidRDefault="00A1371C" w:rsidP="00A1371C">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0F51A013" w:rsidR="00A1371C" w:rsidRPr="00562602" w:rsidRDefault="00A1371C" w:rsidP="00A1371C">
            <w:pPr>
              <w:rPr>
                <w:rFonts w:ascii="Times New Roman" w:hAnsi="Times New Roman"/>
                <w:sz w:val="24"/>
                <w:szCs w:val="24"/>
              </w:rPr>
            </w:pPr>
            <w:r w:rsidRPr="004B00F1">
              <w:rPr>
                <w:rFonts w:ascii="Times New Roman" w:hAnsi="Times New Roman"/>
                <w:sz w:val="24"/>
                <w:szCs w:val="24"/>
              </w:rPr>
              <w:t>Катализатор предриформинга AR-401 с пониженной активностью</w:t>
            </w:r>
          </w:p>
        </w:tc>
        <w:tc>
          <w:tcPr>
            <w:tcW w:w="1559" w:type="dxa"/>
            <w:vAlign w:val="center"/>
          </w:tcPr>
          <w:p w14:paraId="560F8EB9" w14:textId="4976A556" w:rsidR="00A1371C" w:rsidRPr="00562602" w:rsidRDefault="00A1371C" w:rsidP="00A1371C">
            <w:pPr>
              <w:jc w:val="center"/>
              <w:rPr>
                <w:rFonts w:ascii="Times New Roman" w:hAnsi="Times New Roman"/>
                <w:sz w:val="24"/>
                <w:szCs w:val="24"/>
              </w:rPr>
            </w:pPr>
            <w:r w:rsidRPr="004B00F1">
              <w:rPr>
                <w:rFonts w:ascii="Times New Roman" w:hAnsi="Times New Roman"/>
                <w:sz w:val="24"/>
                <w:szCs w:val="24"/>
              </w:rPr>
              <w:t>кг</w:t>
            </w:r>
          </w:p>
        </w:tc>
        <w:tc>
          <w:tcPr>
            <w:tcW w:w="1458" w:type="dxa"/>
            <w:vAlign w:val="center"/>
          </w:tcPr>
          <w:p w14:paraId="2DE32EE4" w14:textId="67B1A311" w:rsidR="00A1371C" w:rsidRPr="00562602" w:rsidRDefault="00A1371C" w:rsidP="00A1371C">
            <w:pPr>
              <w:jc w:val="center"/>
              <w:rPr>
                <w:rFonts w:ascii="Times New Roman" w:hAnsi="Times New Roman"/>
                <w:sz w:val="24"/>
                <w:szCs w:val="24"/>
              </w:rPr>
            </w:pPr>
            <w:r w:rsidRPr="004B00F1">
              <w:rPr>
                <w:rFonts w:ascii="Times New Roman" w:hAnsi="Times New Roman"/>
                <w:sz w:val="24"/>
                <w:szCs w:val="24"/>
              </w:rPr>
              <w:t>2826,5</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7FB7B12E"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A1371C" w:rsidRPr="00A1371C">
        <w:rPr>
          <w:rFonts w:ascii="Times New Roman" w:hAnsi="Times New Roman"/>
          <w:sz w:val="24"/>
          <w:szCs w:val="24"/>
        </w:rPr>
        <w:t>Катализатор</w:t>
      </w:r>
      <w:r w:rsidR="00A1371C">
        <w:rPr>
          <w:rFonts w:ascii="Times New Roman" w:hAnsi="Times New Roman"/>
          <w:sz w:val="24"/>
          <w:szCs w:val="24"/>
        </w:rPr>
        <w:t>а</w:t>
      </w:r>
      <w:r w:rsidR="00A1371C" w:rsidRPr="00A1371C">
        <w:rPr>
          <w:rFonts w:ascii="Times New Roman" w:hAnsi="Times New Roman"/>
          <w:sz w:val="24"/>
          <w:szCs w:val="24"/>
        </w:rPr>
        <w:t xml:space="preserve"> предриформинга AR-401 с пониженной активностью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4A6"/>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19264</Words>
  <Characters>109808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2023-10-20T07:38:00Z</dcterms:modified>
</cp:coreProperties>
</file>