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B8" w:rsidRDefault="00C562B8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C562B8">
        <w:tc>
          <w:tcPr>
            <w:tcW w:w="4219" w:type="dxa"/>
          </w:tcPr>
          <w:p w:rsidR="00C562B8" w:rsidRDefault="00C562B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62B8" w:rsidRDefault="00C562B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62B8" w:rsidRDefault="00C562B8" w:rsidP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6D0D37">
      <w:pPr>
        <w:pStyle w:val="1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C562B8" w:rsidRDefault="00C562B8">
      <w:pPr>
        <w:rPr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C562B8">
      <w:pPr>
        <w:jc w:val="center"/>
        <w:rPr>
          <w:rFonts w:ascii="Times New Roman" w:hAnsi="Times New Roman"/>
          <w:sz w:val="24"/>
          <w:szCs w:val="24"/>
        </w:rPr>
      </w:pPr>
    </w:p>
    <w:p w:rsidR="00C562B8" w:rsidRDefault="006D0D37">
      <w:pPr>
        <w:jc w:val="center"/>
        <w:rPr>
          <w:rFonts w:ascii="Times New Roman" w:hAnsi="Times New Roman"/>
          <w:sz w:val="28"/>
          <w:szCs w:val="28"/>
        </w:rPr>
        <w:sectPr w:rsidR="00C562B8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97"/>
        <w:gridCol w:w="2923"/>
        <w:gridCol w:w="6387"/>
      </w:tblGrid>
      <w:tr w:rsidR="00C562B8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pStyle w:val="2"/>
              <w:widowControl w:val="0"/>
              <w:rPr>
                <w:lang w:val="ru-RU" w:eastAsia="ru-RU"/>
              </w:rPr>
            </w:pPr>
            <w:r>
              <w:rPr>
                <w:rFonts w:cs="Arial"/>
                <w:bCs/>
                <w:lang w:val="ru-RU" w:eastAsia="ru-RU"/>
              </w:rPr>
              <w:t xml:space="preserve">Оказание услуг по адаптации и сопровождению экземпляров Систем </w:t>
            </w:r>
            <w:proofErr w:type="gramStart"/>
            <w:r>
              <w:rPr>
                <w:rFonts w:cs="Arial"/>
                <w:bCs/>
                <w:lang w:val="ru-RU" w:eastAsia="ru-RU"/>
              </w:rPr>
              <w:t>КонсультантПлюс(</w:t>
            </w:r>
            <w:proofErr w:type="gramEnd"/>
            <w:r>
              <w:rPr>
                <w:rFonts w:cs="Arial"/>
                <w:bCs/>
                <w:lang w:val="ru-RU" w:eastAsia="ru-RU"/>
              </w:rPr>
              <w:t xml:space="preserve">в т.ч. специальной копии Системы) </w:t>
            </w:r>
            <w:r>
              <w:rPr>
                <w:lang w:val="ru-RU" w:eastAsia="ru-RU"/>
              </w:rPr>
              <w:t>установленных у Заказчика.</w:t>
            </w:r>
          </w:p>
        </w:tc>
      </w:tr>
      <w:tr w:rsidR="00C562B8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C562B8" w:rsidRDefault="00C562B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pStyle w:val="2"/>
              <w:widowContro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:rsidR="00C562B8" w:rsidRDefault="00C562B8">
            <w:pPr>
              <w:pStyle w:val="2"/>
              <w:widowControl w:val="0"/>
              <w:rPr>
                <w:lang w:val="ru-RU" w:eastAsia="ru-RU"/>
              </w:rPr>
            </w:pPr>
          </w:p>
        </w:tc>
      </w:tr>
      <w:tr w:rsidR="00C562B8">
        <w:trPr>
          <w:trHeight w:val="84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625047, Тюменская область,</w:t>
            </w:r>
          </w:p>
          <w:p w:rsidR="00C562B8" w:rsidRDefault="006D0D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Тюмень, 6-й </w:t>
            </w:r>
            <w:r>
              <w:rPr>
                <w:sz w:val="24"/>
                <w:szCs w:val="24"/>
              </w:rPr>
              <w:t>км. Старого Тобольского тракта, 20</w:t>
            </w:r>
          </w:p>
        </w:tc>
      </w:tr>
      <w:tr w:rsidR="00C562B8">
        <w:trPr>
          <w:trHeight w:val="55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января 2024 года по 31 декабря 2024 года</w:t>
            </w:r>
          </w:p>
        </w:tc>
      </w:tr>
      <w:tr w:rsidR="00C562B8">
        <w:trPr>
          <w:trHeight w:val="4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pStyle w:val="2"/>
              <w:widowControl w:val="0"/>
              <w:rPr>
                <w:u w:val="single"/>
                <w:lang w:val="ru-RU" w:eastAsia="ru-RU"/>
              </w:rPr>
            </w:pPr>
            <w:r>
              <w:rPr>
                <w:u w:val="single"/>
                <w:lang w:val="ru-RU" w:eastAsia="ru-RU"/>
              </w:rPr>
              <w:t>Не предусмотрены</w:t>
            </w:r>
          </w:p>
        </w:tc>
      </w:tr>
      <w:tr w:rsidR="00C562B8"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2B8" w:rsidRDefault="00C562B8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562B8">
        <w:trPr>
          <w:trHeight w:val="3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62B8" w:rsidRDefault="00C562B8">
            <w:pPr>
              <w:widowControl w:val="0"/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617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3409"/>
              <w:gridCol w:w="737"/>
              <w:gridCol w:w="735"/>
              <w:gridCol w:w="737"/>
            </w:tblGrid>
            <w:tr w:rsidR="00C562B8">
              <w:trPr>
                <w:trHeight w:val="482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146" w:type="dxa"/>
                  <w:gridSpan w:val="2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услуг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ед.измер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62B8">
              <w:trPr>
                <w:trHeight w:val="230"/>
              </w:trPr>
              <w:tc>
                <w:tcPr>
                  <w:tcW w:w="559" w:type="dxa"/>
                  <w:vAlign w:val="center"/>
                </w:tcPr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Оказание услуг по адаптации и сопровождению экземпляров Систем КонсультантПлюс (в т.ч. специальной копии Системы), включая: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ОД*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24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СПС Консультант Юрист: Версия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Проф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(сет)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1.2.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СПС КонсультантПлюс: Тюменский Выпуск (сет)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1.3.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СПС КонсультантПлюс: Эксперт-приложение (сет)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1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1.4.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СС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КонсультантБухгалтер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: Вопросы-ответы (сет)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1.5.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СС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КонсультантБухгалтер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: Корреспонденция счетов (сет)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1.6.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СС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КонсультантАрбитраж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: Арбитражные суды всех округов (с/о)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229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1.7.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СС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КонсультантСудебнаяПрактика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: Суды общей юрисдикции всех округов (с/о)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1.8.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СС КонсультантПлюс: Строительство (с/о)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1.9.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СС Деловые бумаги (сет)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C562B8">
              <w:trPr>
                <w:trHeight w:val="113"/>
              </w:trPr>
              <w:tc>
                <w:tcPr>
                  <w:tcW w:w="55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1.10.</w:t>
                  </w:r>
                </w:p>
                <w:p w:rsidR="00C562B8" w:rsidRDefault="00C562B8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9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СПС Консультант Премиум смарт-комплект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Проф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ОВП</w:t>
                  </w:r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35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Усл.ед</w:t>
                  </w:r>
                  <w:proofErr w:type="spellEnd"/>
                </w:p>
              </w:tc>
              <w:tc>
                <w:tcPr>
                  <w:tcW w:w="737" w:type="dxa"/>
                  <w:vAlign w:val="center"/>
                </w:tcPr>
                <w:p w:rsidR="00C562B8" w:rsidRDefault="006D0D37">
                  <w:pPr>
                    <w:pStyle w:val="Default"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C562B8" w:rsidRDefault="006D0D37">
            <w:pPr>
              <w:widowControl w:val="0"/>
              <w:tabs>
                <w:tab w:val="left" w:pos="83"/>
                <w:tab w:val="left" w:pos="36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ОД* (одновременных подключений) - </w:t>
            </w:r>
            <w:r>
              <w:rPr>
                <w:rFonts w:ascii="Times New Roman" w:hAnsi="Times New Roman" w:cs="Arial"/>
                <w:i/>
                <w:sz w:val="16"/>
                <w:szCs w:val="16"/>
              </w:rPr>
              <w:t>параметр, определяющий максимальное количество ЭВМ, с которых может быть осуществлен одновременный доступ к Системе и комплекту Систем.</w:t>
            </w:r>
          </w:p>
          <w:p w:rsidR="00C562B8" w:rsidRDefault="006D0D37">
            <w:pPr>
              <w:widowControl w:val="0"/>
              <w:tabs>
                <w:tab w:val="left" w:pos="83"/>
                <w:tab w:val="left" w:pos="367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Усл.ед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. - месяц оказания услуг по адаптации и сопровождению экземпляров систем КонсультантПлюс 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в.т.</w:t>
            </w:r>
            <w:r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ч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специальной копии Системы)</w:t>
            </w:r>
          </w:p>
        </w:tc>
      </w:tr>
      <w:tr w:rsidR="00C562B8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2B8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требования к оказываемым услугам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Оказание услуг по адаптации и сопровождению экземпляров </w:t>
            </w:r>
            <w:r>
              <w:rPr>
                <w:rFonts w:ascii="Times New Roman" w:hAnsi="Times New Roman"/>
                <w:sz w:val="24"/>
                <w:szCs w:val="24"/>
              </w:rPr>
              <w:t>Систем (в т.ч. специальной копии Системы), установленных у Заказчика и перечисленных в п. 7 Технического задания, должно предусматривать: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9.1.1. Адаптацию экземпляров Систем (установку, тестирование, регистрацию, формирование в комплекты, внесение других и</w:t>
            </w:r>
            <w:r>
              <w:rPr>
                <w:rFonts w:ascii="Times New Roman" w:hAnsi="Times New Roman"/>
                <w:sz w:val="24"/>
                <w:szCs w:val="24"/>
              </w:rPr>
              <w:t>зменений, необходимых для работоспособности на оборудовании Заказчика);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9.1.2. Сопровождение адаптированных экземпляров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Систем, в т.ч.: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Передачу Заказчику актуальной информации (актуальных наборов текстовой информации, адаптированных к имеющимся у За</w:t>
            </w:r>
            <w:r>
              <w:rPr>
                <w:rFonts w:ascii="Times New Roman" w:hAnsi="Times New Roman"/>
                <w:sz w:val="24"/>
                <w:szCs w:val="24"/>
              </w:rPr>
              <w:t>казчика экземплярам Систем);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(тестирование, переустановка);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Предоставление допо</w:t>
            </w:r>
            <w:r>
              <w:rPr>
                <w:rFonts w:ascii="Times New Roman" w:hAnsi="Times New Roman"/>
                <w:sz w:val="24"/>
                <w:szCs w:val="24"/>
              </w:rPr>
              <w:t>лнительной информации и возможностей, состав которых определяется Исполнителем;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Мониторинг данных об использовании Систем с целью предотвращения их противоправного и контрафактного использования, а также замедления работы;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Консультирование по р</w:t>
            </w:r>
            <w:r>
              <w:rPr>
                <w:rFonts w:ascii="Times New Roman" w:hAnsi="Times New Roman"/>
                <w:sz w:val="24"/>
                <w:szCs w:val="24"/>
              </w:rPr>
              <w:t>аботе с Системами, в т.ч. обучение Заказчика работе с Системами с возможностью получения специального сертификата об обучении;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Предоставление возможности получения Заказчиком консультаций по работе Систем по телефону, по электронной почте, через спец</w:t>
            </w:r>
            <w:r>
              <w:rPr>
                <w:rFonts w:ascii="Times New Roman" w:hAnsi="Times New Roman"/>
                <w:sz w:val="24"/>
                <w:szCs w:val="24"/>
              </w:rPr>
              <w:t>иальные сервисы и базы данных, либо в офисе Исполнителя;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Предоставление ежемесячного информационного Бюллетеня КонсультантПлюс.</w:t>
            </w:r>
          </w:p>
        </w:tc>
      </w:tr>
      <w:tr w:rsidR="00C562B8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оказываемых услуг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Исполнитель обязан обеспечить совместимость </w:t>
            </w:r>
            <w:r>
              <w:rPr>
                <w:rFonts w:ascii="Times New Roman" w:hAnsi="Times New Roman"/>
                <w:sz w:val="24"/>
                <w:szCs w:val="24"/>
              </w:rPr>
              <w:t>(взаимодействие) услуг по адаптации и сопровождению с: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10.1.1. ранее установленными у Заказчика экземплярами Систем КонсультантПлюс (в т.ч. специальной копии Системы);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10.1.2. информационными ресурсами Заказчика, ранее самостоятельно подготовленными им с 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спользованием технологий КонсультантПлюс, в том числе с: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базой данн</w:t>
            </w:r>
            <w:r>
              <w:rPr>
                <w:rFonts w:ascii="Times New Roman" w:hAnsi="Times New Roman"/>
                <w:sz w:val="24"/>
                <w:szCs w:val="24"/>
              </w:rPr>
              <w:t>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технологическими взаимосвя</w:t>
            </w:r>
            <w:r>
              <w:rPr>
                <w:rFonts w:ascii="Times New Roman" w:hAnsi="Times New Roman"/>
                <w:sz w:val="24"/>
                <w:szCs w:val="24"/>
              </w:rPr>
              <w:t>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10.2. Участник закупки (Исполнитель) обязан предоставит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Лицензионного соглашения, подтверждающего, что специальное </w:t>
            </w:r>
            <w:r>
              <w:rPr>
                <w:rFonts w:ascii="Times New Roman" w:hAnsi="Times New Roman"/>
                <w:sz w:val="24"/>
                <w:szCs w:val="24"/>
              </w:rPr>
              <w:t>сервисное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(взаимодействует) с ранее установленными у заказчика экземплярами Систем Консу</w:t>
            </w:r>
            <w:r>
              <w:rPr>
                <w:rFonts w:ascii="Times New Roman" w:hAnsi="Times New Roman"/>
                <w:sz w:val="24"/>
                <w:szCs w:val="24"/>
              </w:rPr>
              <w:t>льтантПлюс (в т.ч. установленной на электронном устройстве заказчика специальной копии Системы КонсультантПлюс), дающей возможность в любое время пользоваться минимально необходимым объёмом правовой информации) и с указанными выше информационными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заказчика.</w:t>
            </w:r>
          </w:p>
          <w:p w:rsidR="00C562B8" w:rsidRDefault="006D0D37">
            <w:pPr>
              <w:pStyle w:val="af4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10.3. Участник закупки (Исполнитель) обязуется предоставлять только достоверные сведения и подтверждает, что его предложение об объекте закупки является достоверной информацией о совместимости (взаимодействии) оказываемых услуг по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сопровождению с ранее установленными у заказчика экземплярами Систем КонсультантПлюс (в т.ч. специальной копии Системы) и с информационными ресурсами заказчика (ранее самостоятельно подготовленными им с использованием технологий КонсультантПлюс) на осно</w:t>
            </w:r>
            <w:r>
              <w:rPr>
                <w:rFonts w:ascii="Times New Roman" w:hAnsi="Times New Roman"/>
                <w:sz w:val="24"/>
                <w:szCs w:val="24"/>
              </w:rPr>
              <w:t>ве специального лицензионного сервисного программного обеспечения, обеспечивающего такую совместимость, а также о возможности оказания указанных услуг. Сведения о совместимости должны быть предоставлены в отношении всех вышеупомянутых информационных ресурс</w:t>
            </w:r>
            <w:r>
              <w:rPr>
                <w:rFonts w:ascii="Times New Roman" w:hAnsi="Times New Roman"/>
                <w:sz w:val="24"/>
                <w:szCs w:val="24"/>
              </w:rPr>
              <w:t>ов Заказчика.</w:t>
            </w:r>
          </w:p>
        </w:tc>
      </w:tr>
      <w:tr w:rsidR="00C562B8">
        <w:trPr>
          <w:trHeight w:val="50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функционалу Системы КонсультантПлюс: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 Возможность поиска, результат которого представлен в виде единого списка документов (без разбивки по информационным банкам), в котором представлены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е документы, судебные решения, комментарии и т.п., наиболее точно отвечающие условиям запроса с указанием фрагмента текста.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 Возможность поиска с помощью самонастраивающихся словарей.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 Возможность контекстного поиска по списку найденных документо</w:t>
            </w:r>
            <w:r>
              <w:rPr>
                <w:rFonts w:ascii="Times New Roman" w:hAnsi="Times New Roman"/>
                <w:sz w:val="24"/>
                <w:szCs w:val="24"/>
              </w:rPr>
              <w:t>в, в том числе с многократным уточнением запроса.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 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11.5. Ссылки из всех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>(включая судебные решения и авторские материалы) на другие документы по умолчанию должны вести в те редакции других документов, которые были актуальны на момент подготовки или принятия исходного документа (судебного решения, авторского материала).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11.6. В </w:t>
            </w:r>
            <w:r>
              <w:rPr>
                <w:rFonts w:ascii="Times New Roman" w:hAnsi="Times New Roman"/>
                <w:sz w:val="24"/>
                <w:szCs w:val="24"/>
              </w:rPr>
              <w:t>Системе представляется инструментарий для сравнения редакций документа, включая недействующие.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11.7. Предусмотрена возможность получения редакции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документа на конкретную дату с указанием диапазона действия редакции.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11.8. Наличие функционала «История рассм</w:t>
            </w:r>
            <w:r>
              <w:rPr>
                <w:rFonts w:ascii="Times New Roman" w:hAnsi="Times New Roman"/>
                <w:sz w:val="24"/>
                <w:szCs w:val="24"/>
              </w:rPr>
              <w:t>отрения дела» для арбитражных дел.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11.9. Возможность сохранения результатов работы с помощью истории запросов, папок и закладок пользователя.</w:t>
            </w:r>
          </w:p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 Наличие системы помощи.</w:t>
            </w:r>
          </w:p>
        </w:tc>
      </w:tr>
      <w:tr w:rsidR="00C562B8">
        <w:trPr>
          <w:trHeight w:val="50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6D0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2B8" w:rsidRDefault="00C562B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62B8" w:rsidRDefault="00C562B8">
      <w:pPr>
        <w:rPr>
          <w:rFonts w:ascii="Times New Roman" w:hAnsi="Times New Roman"/>
          <w:sz w:val="24"/>
          <w:szCs w:val="24"/>
        </w:rPr>
      </w:pPr>
    </w:p>
    <w:p w:rsidR="00C562B8" w:rsidRDefault="00C562B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C562B8">
      <w:headerReference w:type="default" r:id="rId8"/>
      <w:footerReference w:type="default" r:id="rId9"/>
      <w:pgSz w:w="11906" w:h="16838"/>
      <w:pgMar w:top="1134" w:right="566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0D37">
      <w:r>
        <w:separator/>
      </w:r>
    </w:p>
  </w:endnote>
  <w:endnote w:type="continuationSeparator" w:id="0">
    <w:p w:rsidR="00000000" w:rsidRDefault="006D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2B8" w:rsidRDefault="006D0D37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0D37">
      <w:r>
        <w:separator/>
      </w:r>
    </w:p>
  </w:footnote>
  <w:footnote w:type="continuationSeparator" w:id="0">
    <w:p w:rsidR="00000000" w:rsidRDefault="006D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2B8" w:rsidRDefault="00C562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4578"/>
    <w:multiLevelType w:val="multilevel"/>
    <w:tmpl w:val="BBF8AE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262FBE"/>
    <w:multiLevelType w:val="multilevel"/>
    <w:tmpl w:val="ABBE4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2B8"/>
    <w:rsid w:val="006D0D37"/>
    <w:rsid w:val="00C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9E05E-BF35-4871-9916-5BA4F66E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character" w:customStyle="1" w:styleId="a6">
    <w:name w:val="Основной текст с отступом Знак"/>
    <w:basedOn w:val="a0"/>
    <w:link w:val="a7"/>
    <w:uiPriority w:val="99"/>
    <w:qFormat/>
    <w:rsid w:val="005C7A32"/>
    <w:rPr>
      <w:rFonts w:ascii="Calibri" w:eastAsia="Calibri" w:hAnsi="Calibri" w:cs="Times New Roman"/>
    </w:rPr>
  </w:style>
  <w:style w:type="character" w:customStyle="1" w:styleId="a8">
    <w:name w:val="Основной текст + Полужирный"/>
    <w:basedOn w:val="a0"/>
    <w:qFormat/>
    <w:rsid w:val="006D6B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en-US"/>
    </w:rPr>
  </w:style>
  <w:style w:type="character" w:customStyle="1" w:styleId="a9">
    <w:name w:val="Верхний колонтитул Знак"/>
    <w:basedOn w:val="a0"/>
    <w:link w:val="aa"/>
    <w:qFormat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af3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4">
    <w:name w:val="List Paragraph"/>
    <w:basedOn w:val="a"/>
    <w:uiPriority w:val="34"/>
    <w:qFormat/>
    <w:rsid w:val="00810CD3"/>
    <w:pPr>
      <w:ind w:left="720"/>
      <w:contextualSpacing/>
    </w:pPr>
  </w:style>
  <w:style w:type="paragraph" w:styleId="a7">
    <w:name w:val="Body Text Indent"/>
    <w:basedOn w:val="a"/>
    <w:link w:val="a6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a">
    <w:name w:val="header"/>
    <w:basedOn w:val="a"/>
    <w:link w:val="a9"/>
    <w:unhideWhenUsed/>
    <w:rsid w:val="00DC6F90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unhideWhenUsed/>
    <w:qFormat/>
    <w:rsid w:val="0083677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5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C7A3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2899-4A34-4258-98BF-D42850E4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1097</Words>
  <Characters>6253</Characters>
  <Application>Microsoft Office Word</Application>
  <DocSecurity>0</DocSecurity>
  <Lines>52</Lines>
  <Paragraphs>14</Paragraphs>
  <ScaleCrop>false</ScaleCrop>
  <Company>ЗАО Антипинский НПЗ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dc:description/>
  <cp:lastModifiedBy>Энергосервис-Тендер</cp:lastModifiedBy>
  <cp:revision>15</cp:revision>
  <cp:lastPrinted>2019-11-26T10:41:00Z</cp:lastPrinted>
  <dcterms:created xsi:type="dcterms:W3CDTF">2023-10-20T12:04:00Z</dcterms:created>
  <dcterms:modified xsi:type="dcterms:W3CDTF">2023-10-30T10:03:00Z</dcterms:modified>
  <dc:language>ru-RU</dc:language>
</cp:coreProperties>
</file>