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C414FE" w:rsidRDefault="00C414FE" w:rsidP="00C414FE">
            <w:pPr>
              <w:jc w:val="center"/>
              <w:rPr>
                <w:b/>
                <w:sz w:val="18"/>
                <w:szCs w:val="18"/>
              </w:rPr>
            </w:pPr>
            <w:r w:rsidRPr="00C414FE">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2A263D" w:rsidP="00AC583D">
            <w:pPr>
              <w:suppressAutoHyphens/>
              <w:spacing w:before="120"/>
              <w:jc w:val="both"/>
              <w:rPr>
                <w:sz w:val="20"/>
                <w:szCs w:val="20"/>
              </w:rPr>
            </w:pPr>
            <w:r w:rsidRPr="009E69F4">
              <w:rPr>
                <w:sz w:val="20"/>
                <w:szCs w:val="20"/>
              </w:rPr>
              <w:t>Анализатор жидкости Флюорат-02-3М/5М, ЛЮМЭКС</w:t>
            </w:r>
          </w:p>
        </w:tc>
        <w:tc>
          <w:tcPr>
            <w:tcW w:w="987" w:type="dxa"/>
            <w:vAlign w:val="center"/>
          </w:tcPr>
          <w:p w:rsidR="00C414FE" w:rsidRPr="00AC583D" w:rsidRDefault="005B4AFF" w:rsidP="00C414FE">
            <w:pPr>
              <w:jc w:val="center"/>
              <w:rPr>
                <w:sz w:val="20"/>
                <w:szCs w:val="20"/>
              </w:rPr>
            </w:pPr>
            <w:r>
              <w:rPr>
                <w:sz w:val="20"/>
                <w:szCs w:val="20"/>
              </w:rPr>
              <w:t>Шт.</w:t>
            </w:r>
          </w:p>
        </w:tc>
        <w:tc>
          <w:tcPr>
            <w:tcW w:w="431" w:type="dxa"/>
            <w:vAlign w:val="center"/>
          </w:tcPr>
          <w:p w:rsidR="00C414FE" w:rsidRPr="00AC583D" w:rsidRDefault="00C414FE" w:rsidP="00C414FE">
            <w:pPr>
              <w:rPr>
                <w:sz w:val="20"/>
                <w:szCs w:val="20"/>
              </w:rPr>
            </w:pPr>
            <w:r w:rsidRPr="00AC583D">
              <w:rPr>
                <w:sz w:val="20"/>
                <w:szCs w:val="20"/>
              </w:rPr>
              <w:t xml:space="preserve">   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w:t>
      </w:r>
      <w:r w:rsidR="002A263D">
        <w:rPr>
          <w:b/>
          <w:sz w:val="22"/>
          <w:szCs w:val="22"/>
        </w:rPr>
        <w:t>сего по настоящей Спецификации 1</w:t>
      </w:r>
      <w:r w:rsidRPr="00C414FE">
        <w:rPr>
          <w:b/>
          <w:sz w:val="22"/>
          <w:szCs w:val="22"/>
        </w:rPr>
        <w:t xml:space="preserve"> (</w:t>
      </w:r>
      <w:r w:rsidR="002A263D">
        <w:rPr>
          <w:b/>
          <w:sz w:val="22"/>
          <w:szCs w:val="22"/>
        </w:rPr>
        <w:t>одно</w:t>
      </w:r>
      <w:r w:rsidRPr="00C414FE">
        <w:rPr>
          <w:b/>
          <w:sz w:val="22"/>
          <w:szCs w:val="22"/>
        </w:rPr>
        <w:t>)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sidRPr="002A263D">
        <w:rPr>
          <w:color w:val="FF0000"/>
          <w:sz w:val="22"/>
          <w:szCs w:val="22"/>
        </w:rPr>
        <w:t xml:space="preserve">паспорт и инструкции / руководство по эксплуатации прибора на русском языке (на бумажном носителе), </w:t>
      </w:r>
      <w:r w:rsidR="002A263D" w:rsidRPr="00FD7CDC">
        <w:rPr>
          <w:color w:val="FF0000"/>
          <w:sz w:val="20"/>
          <w:szCs w:val="20"/>
        </w:rPr>
        <w:t>подтверждение наличия прибора в государственном реестре средств измерений (Свидетельство об утверждении типа СИ с описанием типа, копия) для СИ (на бумажном носителе)</w:t>
      </w:r>
      <w:r w:rsidR="002A263D">
        <w:rPr>
          <w:color w:val="FF0000"/>
          <w:sz w:val="20"/>
          <w:szCs w:val="20"/>
        </w:rPr>
        <w:t xml:space="preserve">, </w:t>
      </w:r>
      <w:r w:rsidR="002A263D" w:rsidRPr="00FD7CDC">
        <w:rPr>
          <w:color w:val="FF0000"/>
          <w:sz w:val="20"/>
          <w:szCs w:val="20"/>
        </w:rPr>
        <w:t>методика поверки (на бумажном носителе)</w:t>
      </w:r>
      <w:r w:rsidR="00CA7CF5" w:rsidRPr="00DB158E">
        <w:rPr>
          <w:sz w:val="22"/>
          <w:szCs w:val="22"/>
        </w:rPr>
        <w:t>.</w:t>
      </w:r>
      <w:r w:rsidRPr="00CA7CF5">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w:t>
      </w:r>
      <w:r w:rsidRPr="001454B4">
        <w:rPr>
          <w:sz w:val="22"/>
          <w:szCs w:val="22"/>
        </w:rPr>
        <w:t>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001569" w:rsidRDefault="00001569" w:rsidP="001454B4">
      <w:pPr>
        <w:pStyle w:val="ab"/>
        <w:ind w:left="0"/>
        <w:jc w:val="both"/>
        <w:rPr>
          <w:sz w:val="22"/>
          <w:szCs w:val="22"/>
        </w:rPr>
      </w:pPr>
    </w:p>
    <w:p w:rsidR="002A263D" w:rsidRPr="002A263D" w:rsidRDefault="001454B4" w:rsidP="002A263D">
      <w:pPr>
        <w:pStyle w:val="ab"/>
        <w:ind w:left="0"/>
        <w:jc w:val="both"/>
        <w:rPr>
          <w:sz w:val="22"/>
          <w:szCs w:val="22"/>
        </w:rPr>
      </w:pPr>
      <w:r w:rsidRPr="00E5018A">
        <w:rPr>
          <w:b/>
          <w:sz w:val="22"/>
          <w:szCs w:val="22"/>
        </w:rPr>
        <w:t>4.</w:t>
      </w:r>
      <w:r w:rsidRPr="00A661C2">
        <w:rPr>
          <w:b/>
          <w:sz w:val="22"/>
          <w:szCs w:val="22"/>
        </w:rPr>
        <w:t>Срок поставки:</w:t>
      </w:r>
      <w:r w:rsidRPr="00277D78">
        <w:rPr>
          <w:color w:val="FF0000"/>
          <w:sz w:val="22"/>
          <w:szCs w:val="22"/>
        </w:rPr>
        <w:t xml:space="preserve"> </w:t>
      </w:r>
      <w:r w:rsidR="002A263D" w:rsidRPr="002A263D">
        <w:rPr>
          <w:sz w:val="22"/>
          <w:szCs w:val="22"/>
        </w:rPr>
        <w:t>в</w:t>
      </w:r>
      <w:r w:rsidR="002A263D">
        <w:rPr>
          <w:sz w:val="22"/>
          <w:szCs w:val="22"/>
        </w:rPr>
        <w:t xml:space="preserve"> течение 75 (семидесяти пяти) календарных дней </w:t>
      </w:r>
      <w:r w:rsidR="002A263D" w:rsidRPr="002A263D">
        <w:rPr>
          <w:sz w:val="22"/>
          <w:szCs w:val="22"/>
        </w:rPr>
        <w:t>с даты подписания настоящей Спецификации уполномоченными представителями Сторон.</w:t>
      </w:r>
    </w:p>
    <w:p w:rsidR="00001569" w:rsidRDefault="00001569" w:rsidP="00001569">
      <w:pPr>
        <w:pStyle w:val="ab"/>
        <w:jc w:val="both"/>
        <w:rPr>
          <w:rFonts w:eastAsiaTheme="minorHAnsi"/>
          <w:sz w:val="22"/>
          <w:szCs w:val="22"/>
          <w:lang w:eastAsia="en-US"/>
        </w:rPr>
      </w:pPr>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p>
    <w:p w:rsidR="002A263D" w:rsidRDefault="002A263D" w:rsidP="002A263D">
      <w:pPr>
        <w:contextualSpacing/>
        <w:jc w:val="both"/>
        <w:rPr>
          <w:bCs/>
          <w:sz w:val="22"/>
          <w:szCs w:val="22"/>
        </w:rPr>
      </w:pPr>
      <w:r w:rsidRPr="002A263D">
        <w:rPr>
          <w:sz w:val="22"/>
          <w:szCs w:val="22"/>
        </w:rPr>
        <w:t>100% стоимости товара - ____________ (______________) рублей ___ копеек, в том числе НДС 20% - ______________ (_________________) рубля Покупатель оплачивает в течение 30 (</w:t>
      </w:r>
      <w:r w:rsidR="007F3B50">
        <w:rPr>
          <w:sz w:val="22"/>
          <w:szCs w:val="22"/>
        </w:rPr>
        <w:t>тридцати</w:t>
      </w:r>
      <w:bookmarkStart w:id="0" w:name="_GoBack"/>
      <w:bookmarkEnd w:id="0"/>
      <w:r w:rsidRPr="002A263D">
        <w:rPr>
          <w:sz w:val="22"/>
          <w:szCs w:val="22"/>
        </w:rPr>
        <w:t xml:space="preserve">) календарных дней по факту поставки Товара </w:t>
      </w:r>
      <w:r w:rsidRPr="002A263D">
        <w:rPr>
          <w:bCs/>
          <w:sz w:val="22"/>
          <w:szCs w:val="22"/>
        </w:rPr>
        <w:t>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r>
        <w:rPr>
          <w:bCs/>
          <w:sz w:val="22"/>
          <w:szCs w:val="22"/>
        </w:rPr>
        <w:t>.</w:t>
      </w:r>
    </w:p>
    <w:p w:rsidR="001454B4" w:rsidRDefault="002A263D" w:rsidP="002A263D">
      <w:pPr>
        <w:contextualSpacing/>
        <w:jc w:val="both"/>
        <w:rPr>
          <w:bCs/>
          <w:sz w:val="22"/>
          <w:szCs w:val="22"/>
        </w:rPr>
      </w:pPr>
      <w:r w:rsidRPr="002A263D">
        <w:rPr>
          <w:sz w:val="22"/>
          <w:szCs w:val="22"/>
        </w:rPr>
        <w:lastRenderedPageBreak/>
        <w:t>6</w:t>
      </w:r>
      <w:r w:rsidR="001454B4" w:rsidRPr="002A263D">
        <w:rPr>
          <w:sz w:val="22"/>
          <w:szCs w:val="22"/>
        </w:rPr>
        <w:t>.</w:t>
      </w:r>
      <w:r w:rsidR="001454B4" w:rsidRPr="002A263D">
        <w:rPr>
          <w:bCs/>
          <w:color w:val="FF0000"/>
          <w:sz w:val="22"/>
          <w:szCs w:val="22"/>
        </w:rPr>
        <w:t xml:space="preserve"> </w:t>
      </w:r>
      <w:r w:rsidR="001454B4" w:rsidRPr="002A263D">
        <w:rPr>
          <w:bCs/>
          <w:sz w:val="22"/>
          <w:szCs w:val="22"/>
        </w:rPr>
        <w:t>Гарантийный</w:t>
      </w:r>
      <w:r w:rsidR="001454B4" w:rsidRPr="00277D78">
        <w:rPr>
          <w:bCs/>
          <w:sz w:val="22"/>
          <w:szCs w:val="22"/>
        </w:rPr>
        <w:t xml:space="preserve">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Default="002A263D" w:rsidP="001454B4">
      <w:pPr>
        <w:pStyle w:val="ab"/>
        <w:ind w:left="0"/>
        <w:jc w:val="both"/>
        <w:rPr>
          <w:sz w:val="22"/>
          <w:szCs w:val="22"/>
        </w:rPr>
      </w:pPr>
      <w:r>
        <w:rPr>
          <w:sz w:val="22"/>
          <w:szCs w:val="22"/>
        </w:rPr>
        <w:t>7</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2A263D" w:rsidP="001454B4">
      <w:pPr>
        <w:pStyle w:val="ab"/>
        <w:ind w:left="0"/>
        <w:jc w:val="both"/>
        <w:rPr>
          <w:sz w:val="22"/>
          <w:szCs w:val="22"/>
        </w:rPr>
      </w:pPr>
      <w:r>
        <w:rPr>
          <w:sz w:val="22"/>
          <w:szCs w:val="22"/>
        </w:rPr>
        <w:t>8</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2A263D" w:rsidP="001454B4">
      <w:pPr>
        <w:pStyle w:val="ab"/>
        <w:ind w:left="0"/>
        <w:jc w:val="both"/>
        <w:rPr>
          <w:sz w:val="22"/>
          <w:szCs w:val="22"/>
        </w:rPr>
      </w:pPr>
      <w:r>
        <w:rPr>
          <w:sz w:val="22"/>
          <w:szCs w:val="22"/>
        </w:rPr>
        <w:t>9</w:t>
      </w:r>
      <w:r w:rsidR="001454B4">
        <w:rPr>
          <w:sz w:val="22"/>
          <w:szCs w:val="22"/>
        </w:rPr>
        <w:t>.</w:t>
      </w:r>
      <w:r w:rsidR="001454B4"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50E" w:rsidRDefault="00F2150E" w:rsidP="00DC636A">
      <w:r>
        <w:separator/>
      </w:r>
    </w:p>
  </w:endnote>
  <w:endnote w:type="continuationSeparator" w:id="0">
    <w:p w:rsidR="00F2150E" w:rsidRDefault="00F2150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50E" w:rsidRDefault="00F2150E" w:rsidP="00DC636A">
      <w:r>
        <w:separator/>
      </w:r>
    </w:p>
  </w:footnote>
  <w:footnote w:type="continuationSeparator" w:id="0">
    <w:p w:rsidR="00F2150E" w:rsidRDefault="00F2150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A263D">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2579A"/>
    <w:rsid w:val="0023291F"/>
    <w:rsid w:val="00235DF3"/>
    <w:rsid w:val="00246001"/>
    <w:rsid w:val="0026159D"/>
    <w:rsid w:val="0026687A"/>
    <w:rsid w:val="002668F5"/>
    <w:rsid w:val="00267407"/>
    <w:rsid w:val="0027105A"/>
    <w:rsid w:val="00284750"/>
    <w:rsid w:val="00291F09"/>
    <w:rsid w:val="0029659A"/>
    <w:rsid w:val="00297746"/>
    <w:rsid w:val="002A263D"/>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40A5"/>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A2316"/>
    <w:rsid w:val="004A4F2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D64F1"/>
    <w:rsid w:val="005D6C36"/>
    <w:rsid w:val="005D745C"/>
    <w:rsid w:val="005E1869"/>
    <w:rsid w:val="005E356C"/>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3B50"/>
    <w:rsid w:val="007F4BBB"/>
    <w:rsid w:val="007F6813"/>
    <w:rsid w:val="0081014A"/>
    <w:rsid w:val="008301CB"/>
    <w:rsid w:val="008315D7"/>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58E"/>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E628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87D02"/>
    <w:rsid w:val="009D5CA0"/>
    <w:rsid w:val="00A86D6A"/>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B018-2169-497B-88C9-1C7AE3E8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7464</Words>
  <Characters>42550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42</cp:revision>
  <cp:lastPrinted>2022-07-27T04:53:00Z</cp:lastPrinted>
  <dcterms:created xsi:type="dcterms:W3CDTF">2021-12-27T13:58:00Z</dcterms:created>
  <dcterms:modified xsi:type="dcterms:W3CDTF">2023-11-14T10:39:00Z</dcterms:modified>
</cp:coreProperties>
</file>