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4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559"/>
        <w:gridCol w:w="3969"/>
      </w:tblGrid>
      <w:tr>
        <w:trPr/>
        <w:tc>
          <w:tcPr>
            <w:tcW w:w="421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поставку л</w:t>
      </w:r>
      <w:r>
        <w:rPr>
          <w:rFonts w:ascii="Times New Roman" w:hAnsi="Times New Roman"/>
          <w:sz w:val="24"/>
          <w:szCs w:val="24"/>
          <w:shd w:fill="auto" w:val="clear"/>
          <w:lang w:val="ru-RU" w:eastAsia="ru-RU"/>
        </w:rPr>
        <w:t>енточной библиотеки для резервного копирования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tbl>
      <w:tblPr>
        <w:tblW w:w="9907" w:type="dxa"/>
        <w:jc w:val="left"/>
        <w:tblInd w:w="-63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97"/>
        <w:gridCol w:w="2919"/>
        <w:gridCol w:w="6391"/>
      </w:tblGrid>
      <w:tr>
        <w:trPr>
          <w:trHeight w:val="556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  <w:lang w:val="ru-RU" w:eastAsia="ru-RU"/>
              </w:rPr>
              <w:t>Ленточная библиотека для резервного копирования (долгосрочное хранение)</w:t>
            </w:r>
          </w:p>
        </w:tc>
      </w:tr>
      <w:tr>
        <w:trPr>
          <w:trHeight w:val="556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>
            <w:pPr>
              <w:pStyle w:val="2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trHeight w:val="841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625047, Тюменская область,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договорным документом</w:t>
            </w:r>
          </w:p>
        </w:tc>
      </w:tr>
      <w:tr>
        <w:trPr>
          <w:trHeight w:val="40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" w:firstLine="284"/>
              <w:jc w:val="both"/>
              <w:rPr/>
            </w:pPr>
            <w:r>
              <w:rPr>
                <w:rStyle w:val="10"/>
                <w:rFonts w:eastAsia="Calibri"/>
                <w:bCs/>
                <w:i w:val="false"/>
                <w:iCs w:val="false"/>
                <w:sz w:val="24"/>
                <w:szCs w:val="24"/>
                <w:u w:val="none"/>
                <w:lang w:val="ru-RU" w:eastAsia="ru-RU"/>
              </w:rPr>
              <w:t>Д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u w:val="none"/>
                <w:lang w:val="ru-RU" w:eastAsia="ru-RU"/>
              </w:rPr>
              <w:t>опустима поставка аналогов Товара с характеристиками, соответствующими характеристикам, указанным в настоящем техническом задании.</w:t>
            </w:r>
          </w:p>
        </w:tc>
      </w:tr>
      <w:tr>
        <w:trPr>
          <w:trHeight w:val="838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9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7" w:leader="none"/>
              </w:tabs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>
          <w:trHeight w:val="364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83" w:leader="none"/>
                <w:tab w:val="left" w:pos="367" w:leader="none"/>
              </w:tabs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FF" w:val="clear"/>
              </w:rPr>
              <w:t>Ленточная библиотека — 1 комплект.</w:t>
            </w:r>
          </w:p>
        </w:tc>
      </w:tr>
      <w:tr>
        <w:trPr>
          <w:trHeight w:val="38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tabs>
                <w:tab w:val="clear" w:pos="708"/>
                <w:tab w:val="left" w:pos="367" w:leader="none"/>
              </w:tabs>
              <w:suppressAutoHyphens w:val="true"/>
              <w:bidi w:val="0"/>
              <w:spacing w:lineRule="auto" w:line="240" w:before="0" w:after="0"/>
              <w:ind w:left="0" w:right="567" w:firstLine="34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 или упаковка должна обеспечивать сохранность товара при транспортировке и обычных условиях хранения. Стоимость упаковочных материалов включается в стоимость товара.</w:t>
            </w:r>
          </w:p>
        </w:tc>
      </w:tr>
      <w:tr>
        <w:trPr>
          <w:trHeight w:val="38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Монтаж в 19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стойку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горизонтальная ориентация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Высота: не более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ar-SA"/>
              </w:rPr>
              <w:t>Интерфейс подключения устройства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FC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SAS.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Лицензия для открытия интерфейсов (если лицензируется отдельно).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ar-SA"/>
              </w:rPr>
              <w:t>Количество устройств для чтения/записи лент формата LTO-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 xml:space="preserve">7,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ar-SA"/>
              </w:rPr>
              <w:t>LTO-8 половинной высоты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 не менее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Количество роботов/податчиков картриджей: не менее 1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Совместимость с серверами: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Dell, Lenovo, HP.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ar-SA"/>
              </w:rPr>
              <w:t xml:space="preserve">Количество отсеков для ленточных накопителей: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 xml:space="preserve">не менее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ar-SA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>0. Лицензия для открытия всех доступных ячеек картриджей (если лицензируется отдельно).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 xml:space="preserve">- Количество комплектных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eastAsia="ar-SA"/>
              </w:rPr>
              <w:t>чистящих ленточных картриджей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 w:eastAsia="ar-SA"/>
              </w:rPr>
              <w:t xml:space="preserve">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eastAsia="ar-SA"/>
              </w:rPr>
              <w:t>не менее 2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eastAsia="ar-SA"/>
              </w:rPr>
              <w:t xml:space="preserve">- Количество картриджей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 w:eastAsia="ar-SA"/>
              </w:rPr>
              <w:t xml:space="preserve">LTO-8: 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eastAsia="ar-SA"/>
              </w:rPr>
              <w:t>не менее 20 шт.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eastAsia="ar-SA"/>
              </w:rPr>
              <w:t>- Наличие устройства считывания штрих-кода.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Наличие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>ЖК-панели на передней панели для проверки состояния системы, запуска диагностики, просмотра системных журналов, проверки и настройки конфигурации, проверки работы диска, проведения инвентаризации и управления системой.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>- Наличие поддержки масштабирования с помощью дополнительных модулей расширения.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>- Наличие встроенного порта для подключения системы к сети Ethernet с целью удаленного мониторинга и управления.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ar-SA"/>
              </w:rPr>
              <w:t xml:space="preserve">Интерфейсные кабели: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ar-SA"/>
              </w:rPr>
              <w:t>наличие, длина не менее 2 м.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гарантийным обязательствам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Гарантийная поддержка сроком 36 месяцев с момента поставки оборудования на склад Покупателя.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случае наступления гарантийного случая Поставщик обязан своими силами и за свой счет забрать неисправное оборудование из офиса Покупателя для гарантийного ремонта силами Поставщика в срок 5 рабочих дня со дня поступления соответствующей информации от Покупателя посредством сообщения на адрес электронной почты Поставщика.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67" w:leader="none"/>
              </w:tabs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Диагностика оборудования должны составлять не более 5 (пяти) рабочих дней с момента обращения.</w:t>
              <w:br/>
            </w:r>
          </w:p>
        </w:tc>
      </w:tr>
      <w:tr>
        <w:trPr>
          <w:trHeight w:val="50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" w:firstLine="284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 должен быть новым на момент поставки и ранее не использованным, не восстановленным, свободным от прав третьих лиц, не являться выставочным образцом, не иметь дефектов, связанных с конструкцией, материалами или функционированием при его штатном использовании, а также использование Товара с оборудованием Покупателя не должно приводить к выходу этого оборудования из строя или снижению его качественных характеристик, установленных производителями данного оборудования, на протяжении всего срока использования экземпляров Товара до истечения гарантийного срока.</w:t>
            </w:r>
          </w:p>
          <w:p>
            <w:pPr>
              <w:pStyle w:val="Normal"/>
              <w:spacing w:lineRule="auto" w:line="240" w:before="0" w:after="0"/>
              <w:ind w:right="1" w:firstLine="284"/>
              <w:jc w:val="both"/>
              <w:rPr/>
            </w:pPr>
            <w:r>
              <w:rPr>
                <w:rStyle w:val="10"/>
                <w:rFonts w:eastAsia="Calibri"/>
                <w:bCs/>
                <w:i w:val="false"/>
                <w:iCs w:val="false"/>
                <w:sz w:val="24"/>
                <w:szCs w:val="24"/>
              </w:rPr>
              <w:t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      </w:r>
          </w:p>
          <w:p>
            <w:pPr>
              <w:pStyle w:val="Normal"/>
              <w:spacing w:lineRule="auto" w:line="240" w:before="0" w:after="0"/>
              <w:ind w:right="1" w:firstLine="284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Поставщик обязан передать Покупателю Товар в комплекте с относящейся к нему документацией: сертификаты качества и соответствия, лицензии, инструкции по эксплуатации, технические паспорта, справки к грузовым таможенным декларациям, сопроводительные документы, накладные, счета-фактуры, товарно-транспортные накладные, гарантийные талоны и т.д. 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PragmaticaCTT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3b86"/>
    <w:pPr>
      <w:widowControl/>
      <w:suppressAutoHyphens w:val="true"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"/>
    <w:qFormat/>
    <w:rsid w:val="00156b5d"/>
    <w:pPr>
      <w:keepNext w:val="true"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Normal"/>
    <w:next w:val="Normal"/>
    <w:link w:val="2"/>
    <w:qFormat/>
    <w:rsid w:val="00156b5d"/>
    <w:pPr>
      <w:keepNext w:val="true"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Normal"/>
    <w:next w:val="Normal"/>
    <w:link w:val="3"/>
    <w:uiPriority w:val="9"/>
    <w:semiHidden/>
    <w:unhideWhenUsed/>
    <w:qFormat/>
    <w:rsid w:val="000467ec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6">
    <w:name w:val="Heading 6"/>
    <w:basedOn w:val="Normal"/>
    <w:next w:val="Normal"/>
    <w:link w:val="6"/>
    <w:uiPriority w:val="9"/>
    <w:semiHidden/>
    <w:unhideWhenUsed/>
    <w:qFormat/>
    <w:rsid w:val="003a5f90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156b5d"/>
    <w:rPr>
      <w:rFonts w:ascii="PragmaticaCTT" w:hAnsi="PragmaticaCTT" w:eastAsia="Times New Roman" w:cs="Times New Roman"/>
      <w:sz w:val="24"/>
      <w:szCs w:val="20"/>
      <w:lang w:val="x-none" w:eastAsia="x-none"/>
    </w:rPr>
  </w:style>
  <w:style w:type="character" w:styleId="21" w:customStyle="1">
    <w:name w:val="Заголовок 2 Знак"/>
    <w:basedOn w:val="DefaultParagraphFont"/>
    <w:qFormat/>
    <w:rsid w:val="00156b5d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56b5d"/>
    <w:rPr>
      <w:rFonts w:ascii="Times New Roman CYR" w:hAnsi="Times New Roman CYR" w:eastAsia="Times New Roman" w:cs="Times New Roman"/>
      <w:sz w:val="20"/>
      <w:szCs w:val="20"/>
      <w:lang w:val="x-none" w:eastAsia="x-none"/>
    </w:rPr>
  </w:style>
  <w:style w:type="character" w:styleId="Style11">
    <w:name w:val="Интернет-ссылка"/>
    <w:rsid w:val="00156b5d"/>
    <w:rPr>
      <w:color w:val="0000FF"/>
      <w:u w:val="single"/>
    </w:rPr>
  </w:style>
  <w:style w:type="character" w:styleId="Style12" w:customStyle="1">
    <w:name w:val="Основной текст с отступом Знак"/>
    <w:basedOn w:val="DefaultParagraphFont"/>
    <w:uiPriority w:val="99"/>
    <w:qFormat/>
    <w:rsid w:val="005c7a32"/>
    <w:rPr>
      <w:rFonts w:ascii="Calibri" w:hAnsi="Calibri" w:eastAsia="Calibri" w:cs="Times New Roman"/>
    </w:rPr>
  </w:style>
  <w:style w:type="character" w:styleId="Style13" w:customStyle="1">
    <w:name w:val="Основной текст + Полужирный"/>
    <w:basedOn w:val="DefaultParagraphFont"/>
    <w:qFormat/>
    <w:rsid w:val="006d6b5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en-US"/>
    </w:rPr>
  </w:style>
  <w:style w:type="character" w:styleId="Style14" w:customStyle="1">
    <w:name w:val="Верхний колонтитул Знак"/>
    <w:basedOn w:val="DefaultParagraphFont"/>
    <w:qFormat/>
    <w:rsid w:val="00dc6f90"/>
    <w:rPr>
      <w:rFonts w:ascii="Times New Roman CYR" w:hAnsi="Times New Roman CYR" w:eastAsia="Times New Roman" w:cs="Times New Roman"/>
      <w:sz w:val="20"/>
      <w:szCs w:val="20"/>
      <w:lang w:eastAsia="ru-RU"/>
    </w:rPr>
  </w:style>
  <w:style w:type="character" w:styleId="61" w:customStyle="1">
    <w:name w:val="Заголовок 6 Знак"/>
    <w:basedOn w:val="DefaultParagraphFont"/>
    <w:uiPriority w:val="99"/>
    <w:semiHidden/>
    <w:qFormat/>
    <w:rsid w:val="003a5f90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0"/>
      <w:szCs w:val="20"/>
      <w:lang w:eastAsia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0467ec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36776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9d1842"/>
    <w:rPr>
      <w:color w:val="800080" w:themeColor="followedHyperlink"/>
      <w:u w:val="single"/>
    </w:rPr>
  </w:style>
  <w:style w:type="character" w:styleId="10">
    <w:name w:val="Обычный + 10 пт Знак"/>
    <w:qFormat/>
    <w:rPr>
      <w:rFonts w:ascii="Times New Roman" w:hAnsi="Times New Roman" w:eastAsia="Times New Roman" w:cs="Times New Roman"/>
      <w:i/>
      <w:iCs w:val="false"/>
      <w:sz w:val="20"/>
      <w:szCs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Footer"/>
    <w:basedOn w:val="Normal"/>
    <w:link w:val="Style10"/>
    <w:uiPriority w:val="99"/>
    <w:rsid w:val="00156b5d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810cd3"/>
    <w:pPr>
      <w:spacing w:before="0" w:after="0"/>
      <w:ind w:left="720" w:hanging="0"/>
      <w:contextualSpacing/>
    </w:pPr>
    <w:rPr/>
  </w:style>
  <w:style w:type="paragraph" w:styleId="Style25">
    <w:name w:val="Body Text Indent"/>
    <w:basedOn w:val="Normal"/>
    <w:link w:val="Style11"/>
    <w:uiPriority w:val="99"/>
    <w:unhideWhenUsed/>
    <w:rsid w:val="005c7a32"/>
    <w:pPr>
      <w:spacing w:lineRule="auto" w:line="276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32" w:customStyle="1">
    <w:name w:val="Основной текст3"/>
    <w:basedOn w:val="Normal"/>
    <w:qFormat/>
    <w:rsid w:val="006d6b55"/>
    <w:pPr>
      <w:widowControl w:val="false"/>
      <w:shd w:val="clear" w:color="auto" w:fill="FFFFFF"/>
      <w:spacing w:lineRule="exact" w:line="86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Style26">
    <w:name w:val="Header"/>
    <w:basedOn w:val="Normal"/>
    <w:link w:val="Style13"/>
    <w:unhideWhenUsed/>
    <w:rsid w:val="00dc6f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36776"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ru-RU" w:eastAsia="en-US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9"/>
    <w:basedOn w:val="a1"/>
    <w:uiPriority w:val="59"/>
    <w:rsid w:val="005c7a32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EBB-AB04-41B2-BDF6-53ADCE1B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Application>LibreOffice/6.4.2.2$Windows_X86_64 LibreOffice_project/4e471d8c02c9c90f512f7f9ead8875b57fcb1ec3</Application>
  <Pages>3</Pages>
  <Words>465</Words>
  <Characters>3212</Characters>
  <CharactersWithSpaces>3629</CharactersWithSpaces>
  <Paragraphs>53</Paragraphs>
  <Company>ЗАО Антипинский НПЗ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2023-09-21T17:05:00Z</dcterms:created>
  <dc:creator>kovalenko</dc:creator>
  <dc:description/>
  <dc:language>ru-RU</dc:language>
  <cp:lastModifiedBy/>
  <dcterms:modified xsi:type="dcterms:W3CDTF">2023-12-07T12:09:27Z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ЗАО Антипинский НПЗ</vt:lpwstr>
  </property>
</Properties>
</file>